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30" w:type="dxa"/>
        <w:tblLook w:val="04A0" w:firstRow="1" w:lastRow="0" w:firstColumn="1" w:lastColumn="0" w:noHBand="0" w:noVBand="1"/>
      </w:tblPr>
      <w:tblGrid>
        <w:gridCol w:w="3652"/>
        <w:gridCol w:w="5778"/>
      </w:tblGrid>
      <w:tr w:rsidR="00CC2A66" w:rsidRPr="00CC2A66" w14:paraId="67124194" w14:textId="77777777" w:rsidTr="008219BE">
        <w:tc>
          <w:tcPr>
            <w:tcW w:w="3652" w:type="dxa"/>
            <w:hideMark/>
          </w:tcPr>
          <w:p w14:paraId="26EA67FC" w14:textId="77777777" w:rsidR="00610885" w:rsidRPr="00CC2A66" w:rsidRDefault="00610885" w:rsidP="008219BE">
            <w:pPr>
              <w:spacing w:after="0" w:line="240" w:lineRule="auto"/>
              <w:jc w:val="center"/>
              <w:rPr>
                <w:rFonts w:eastAsia="Times New Roman" w:cs="Times New Roman"/>
                <w:kern w:val="0"/>
                <w:szCs w:val="28"/>
                <w14:ligatures w14:val="none"/>
              </w:rPr>
            </w:pPr>
            <w:r w:rsidRPr="00CC2A66">
              <w:rPr>
                <w:rFonts w:eastAsia="Times New Roman" w:cs="Times New Roman"/>
                <w:kern w:val="0"/>
                <w:szCs w:val="28"/>
                <w14:ligatures w14:val="none"/>
              </w:rPr>
              <w:t>UBND TỈNH LẠNG SƠN</w:t>
            </w:r>
          </w:p>
          <w:p w14:paraId="09A3E699" w14:textId="77777777" w:rsidR="00610885" w:rsidRPr="00CC2A66" w:rsidRDefault="00610885" w:rsidP="008219BE">
            <w:pPr>
              <w:spacing w:after="0" w:line="240" w:lineRule="auto"/>
              <w:jc w:val="center"/>
              <w:rPr>
                <w:rFonts w:eastAsia="Times New Roman" w:cs="Times New Roman"/>
                <w:b/>
                <w:kern w:val="0"/>
                <w:szCs w:val="28"/>
                <w14:ligatures w14:val="none"/>
              </w:rPr>
            </w:pPr>
            <w:r w:rsidRPr="00CC2A66">
              <w:rPr>
                <w:rFonts w:eastAsia="Times New Roman" w:cs="Times New Roman"/>
                <w:b/>
                <w:kern w:val="0"/>
                <w:szCs w:val="28"/>
                <w14:ligatures w14:val="none"/>
              </w:rPr>
              <w:t>SỞ TÀI CHÍNH</w:t>
            </w:r>
          </w:p>
          <w:p w14:paraId="6FD229F6" w14:textId="77777777" w:rsidR="00610885" w:rsidRPr="00CC2A66" w:rsidRDefault="00610885" w:rsidP="008219BE">
            <w:pPr>
              <w:spacing w:after="0" w:line="240" w:lineRule="auto"/>
              <w:jc w:val="center"/>
              <w:rPr>
                <w:rFonts w:eastAsia="Times New Roman" w:cs="Times New Roman"/>
                <w:b/>
                <w:kern w:val="0"/>
                <w:szCs w:val="28"/>
                <w14:ligatures w14:val="none"/>
              </w:rPr>
            </w:pPr>
            <w:r w:rsidRPr="00CC2A66">
              <w:rPr>
                <w:rFonts w:ascii=".VnTime" w:eastAsia="Times New Roman" w:hAnsi=".VnTime" w:cs="Times New Roman"/>
                <w:noProof/>
                <w:kern w:val="0"/>
                <w:sz w:val="24"/>
                <w14:ligatures w14:val="none"/>
              </w:rPr>
              <mc:AlternateContent>
                <mc:Choice Requires="wps">
                  <w:drawing>
                    <wp:anchor distT="0" distB="0" distL="114300" distR="114300" simplePos="0" relativeHeight="251659264" behindDoc="0" locked="0" layoutInCell="1" allowOverlap="1" wp14:anchorId="6D0F5797" wp14:editId="00A0383E">
                      <wp:simplePos x="0" y="0"/>
                      <wp:positionH relativeFrom="column">
                        <wp:posOffset>798830</wp:posOffset>
                      </wp:positionH>
                      <wp:positionV relativeFrom="paragraph">
                        <wp:posOffset>24765</wp:posOffset>
                      </wp:positionV>
                      <wp:extent cx="677545" cy="0"/>
                      <wp:effectExtent l="12065" t="10160" r="5715" b="8890"/>
                      <wp:wrapNone/>
                      <wp:docPr id="153538699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5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5E9E5F"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9pt,1.95pt" to="116.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"/>
                  </w:pict>
                </mc:Fallback>
              </mc:AlternateContent>
            </w:r>
          </w:p>
          <w:p w14:paraId="6CA0ACEA" w14:textId="77777777" w:rsidR="00610885" w:rsidRPr="00CC2A66" w:rsidRDefault="00610885" w:rsidP="008219BE">
            <w:pPr>
              <w:spacing w:line="240" w:lineRule="auto"/>
              <w:jc w:val="center"/>
              <w:rPr>
                <w:rFonts w:eastAsia="Times New Roman" w:cs="Times New Roman"/>
                <w:b/>
                <w:kern w:val="0"/>
                <w:szCs w:val="28"/>
                <w14:ligatures w14:val="none"/>
              </w:rPr>
            </w:pPr>
          </w:p>
        </w:tc>
        <w:tc>
          <w:tcPr>
            <w:tcW w:w="5778" w:type="dxa"/>
            <w:hideMark/>
          </w:tcPr>
          <w:p w14:paraId="6B16723C" w14:textId="77777777" w:rsidR="00610885" w:rsidRPr="00CC2A66" w:rsidRDefault="00610885" w:rsidP="008219BE">
            <w:pPr>
              <w:keepNext/>
              <w:tabs>
                <w:tab w:val="left" w:pos="0"/>
              </w:tabs>
              <w:suppressAutoHyphens/>
              <w:spacing w:after="0" w:line="240" w:lineRule="auto"/>
              <w:jc w:val="center"/>
              <w:outlineLvl w:val="3"/>
              <w:rPr>
                <w:rFonts w:eastAsia="Calibri" w:cs="Times New Roman"/>
                <w:b/>
                <w:kern w:val="0"/>
                <w:lang w:eastAsia="x-none"/>
                <w14:ligatures w14:val="none"/>
              </w:rPr>
            </w:pPr>
            <w:r w:rsidRPr="00CC2A66">
              <w:rPr>
                <w:rFonts w:eastAsia="Calibri" w:cs="Times New Roman"/>
                <w:b/>
                <w:kern w:val="0"/>
                <w:szCs w:val="28"/>
                <w:lang w:val="x-none" w:eastAsia="x-none"/>
                <w14:ligatures w14:val="none"/>
              </w:rPr>
              <w:t>CỘNG HÒA XÃ HỘI CHỦ NGHĨA VIỆT NAM</w:t>
            </w:r>
          </w:p>
          <w:p w14:paraId="572950EC" w14:textId="77777777" w:rsidR="00610885" w:rsidRPr="00CC2A66" w:rsidRDefault="00610885" w:rsidP="008219BE">
            <w:pPr>
              <w:keepNext/>
              <w:tabs>
                <w:tab w:val="left" w:pos="0"/>
              </w:tabs>
              <w:suppressAutoHyphens/>
              <w:spacing w:after="0" w:line="240" w:lineRule="auto"/>
              <w:jc w:val="center"/>
              <w:outlineLvl w:val="3"/>
              <w:rPr>
                <w:rFonts w:eastAsia="Calibri" w:cs="Times New Roman"/>
                <w:b/>
                <w:kern w:val="0"/>
                <w:sz w:val="36"/>
                <w:lang w:eastAsia="x-none"/>
                <w14:ligatures w14:val="none"/>
              </w:rPr>
            </w:pPr>
            <w:r w:rsidRPr="00CC2A66">
              <w:rPr>
                <w:rFonts w:ascii=".VnTime" w:eastAsia="Times New Roman" w:hAnsi=".VnTime" w:cs="Times New Roman"/>
                <w:noProof/>
                <w:kern w:val="0"/>
                <w:sz w:val="24"/>
                <w14:ligatures w14:val="none"/>
              </w:rPr>
              <mc:AlternateContent>
                <mc:Choice Requires="wps">
                  <w:drawing>
                    <wp:anchor distT="0" distB="0" distL="114300" distR="114300" simplePos="0" relativeHeight="251660288" behindDoc="0" locked="0" layoutInCell="1" allowOverlap="1" wp14:anchorId="1D9A43B8" wp14:editId="4224AF3B">
                      <wp:simplePos x="0" y="0"/>
                      <wp:positionH relativeFrom="column">
                        <wp:posOffset>601980</wp:posOffset>
                      </wp:positionH>
                      <wp:positionV relativeFrom="paragraph">
                        <wp:posOffset>204470</wp:posOffset>
                      </wp:positionV>
                      <wp:extent cx="2294890" cy="0"/>
                      <wp:effectExtent l="10160" t="9525" r="9525" b="9525"/>
                      <wp:wrapNone/>
                      <wp:docPr id="170506191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4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C78B52"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4pt,16.1pt" to="228.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"/>
                  </w:pict>
                </mc:Fallback>
              </mc:AlternateContent>
            </w:r>
            <w:r w:rsidRPr="00CC2A66">
              <w:rPr>
                <w:rFonts w:eastAsia="Calibri" w:cs="Times New Roman"/>
                <w:b/>
                <w:kern w:val="0"/>
                <w:sz w:val="28"/>
                <w:szCs w:val="28"/>
                <w:lang w:val="x-none" w:eastAsia="x-none"/>
                <w14:ligatures w14:val="none"/>
              </w:rPr>
              <w:t>Độc lập -  Tự do - Hạnh phúc</w:t>
            </w:r>
          </w:p>
        </w:tc>
      </w:tr>
      <w:tr w:rsidR="00CC2A66" w:rsidRPr="00CC2A66" w14:paraId="7BC3693F" w14:textId="77777777" w:rsidTr="008219BE">
        <w:tc>
          <w:tcPr>
            <w:tcW w:w="3652" w:type="dxa"/>
            <w:hideMark/>
          </w:tcPr>
          <w:p w14:paraId="426AAE6C" w14:textId="77777777" w:rsidR="00610885" w:rsidRPr="00CC2A66" w:rsidRDefault="00610885" w:rsidP="008219BE">
            <w:pPr>
              <w:spacing w:before="120" w:after="0" w:line="240" w:lineRule="auto"/>
              <w:jc w:val="center"/>
              <w:rPr>
                <w:rFonts w:eastAsia="Times New Roman" w:cs="Times New Roman"/>
                <w:kern w:val="0"/>
                <w:szCs w:val="28"/>
                <w14:ligatures w14:val="none"/>
              </w:rPr>
            </w:pPr>
            <w:r w:rsidRPr="00CC2A66">
              <w:rPr>
                <w:rFonts w:eastAsia="Times New Roman" w:cs="Times New Roman"/>
                <w:kern w:val="0"/>
                <w:sz w:val="28"/>
                <w:szCs w:val="28"/>
                <w14:ligatures w14:val="none"/>
              </w:rPr>
              <w:t>Số:        /BC-STC</w:t>
            </w:r>
          </w:p>
        </w:tc>
        <w:tc>
          <w:tcPr>
            <w:tcW w:w="5778" w:type="dxa"/>
            <w:hideMark/>
          </w:tcPr>
          <w:p w14:paraId="11B22F0B" w14:textId="77777777" w:rsidR="00610885" w:rsidRPr="00CC2A66" w:rsidRDefault="00610885" w:rsidP="008219BE">
            <w:pPr>
              <w:spacing w:before="120" w:after="0" w:line="240" w:lineRule="auto"/>
              <w:jc w:val="center"/>
              <w:rPr>
                <w:rFonts w:eastAsia="Times New Roman" w:cs="Times New Roman"/>
                <w:kern w:val="0"/>
                <w:szCs w:val="28"/>
                <w14:ligatures w14:val="none"/>
              </w:rPr>
            </w:pPr>
            <w:r w:rsidRPr="00CC2A66">
              <w:rPr>
                <w:rFonts w:eastAsia="Times New Roman" w:cs="Times New Roman"/>
                <w:i/>
                <w:kern w:val="0"/>
                <w:sz w:val="28"/>
                <w:szCs w:val="28"/>
                <w14:ligatures w14:val="none"/>
              </w:rPr>
              <w:t>Lạng Sơn, ngày      tháng 3 năm 2026</w:t>
            </w:r>
          </w:p>
        </w:tc>
      </w:tr>
    </w:tbl>
    <w:p w14:paraId="12A99531" w14:textId="77777777" w:rsidR="00610885" w:rsidRPr="00CC2A66" w:rsidRDefault="00610885" w:rsidP="00610885">
      <w:pPr>
        <w:keepNext/>
        <w:tabs>
          <w:tab w:val="left" w:pos="0"/>
        </w:tabs>
        <w:suppressAutoHyphens/>
        <w:spacing w:after="0" w:line="240" w:lineRule="auto"/>
        <w:outlineLvl w:val="3"/>
        <w:rPr>
          <w:rFonts w:eastAsia="Times New Roman" w:cs="Times New Roman"/>
          <w:b/>
          <w:kern w:val="0"/>
          <w:szCs w:val="28"/>
          <w:lang w:eastAsia="x-none"/>
          <w14:ligatures w14:val="none"/>
        </w:rPr>
      </w:pPr>
      <w:r w:rsidRPr="00CC2A66">
        <w:rPr>
          <w:rFonts w:eastAsia="Times New Roman" w:cs="Times New Roman"/>
          <w:b/>
          <w:noProof/>
          <w:kern w:val="0"/>
          <w:szCs w:val="28"/>
          <w:lang w:eastAsia="x-none"/>
          <w14:ligatures w14:val="none"/>
        </w:rPr>
        <mc:AlternateContent>
          <mc:Choice Requires="wps">
            <w:drawing>
              <wp:anchor distT="0" distB="0" distL="114300" distR="114300" simplePos="0" relativeHeight="251661312" behindDoc="0" locked="0" layoutInCell="1" allowOverlap="1" wp14:anchorId="1463310E" wp14:editId="3C5DB450">
                <wp:simplePos x="0" y="0"/>
                <wp:positionH relativeFrom="column">
                  <wp:posOffset>-60325</wp:posOffset>
                </wp:positionH>
                <wp:positionV relativeFrom="paragraph">
                  <wp:posOffset>91440</wp:posOffset>
                </wp:positionV>
                <wp:extent cx="1115060" cy="401955"/>
                <wp:effectExtent l="10160" t="13970" r="8255" b="12700"/>
                <wp:wrapNone/>
                <wp:docPr id="1466751990" name="Rectangle: Rounded Corner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5060" cy="401955"/>
                        </a:xfrm>
                        <a:prstGeom prst="roundRect">
                          <a:avLst>
                            <a:gd name="adj" fmla="val 16667"/>
                          </a:avLst>
                        </a:prstGeom>
                        <a:solidFill>
                          <a:srgbClr val="FFFFFF"/>
                        </a:solidFill>
                        <a:ln w="9525">
                          <a:solidFill>
                            <a:srgbClr val="000000"/>
                          </a:solidFill>
                          <a:round/>
                          <a:headEnd/>
                          <a:tailEnd/>
                        </a:ln>
                      </wps:spPr>
                      <wps:txbx>
                        <w:txbxContent>
                          <w:p w14:paraId="123C1B27" w14:textId="77777777" w:rsidR="00610885" w:rsidRPr="00111904" w:rsidRDefault="00610885" w:rsidP="00610885">
                            <w:pPr>
                              <w:jc w:val="center"/>
                              <w:rPr>
                                <w:b/>
                                <w:bCs/>
                                <w:sz w:val="28"/>
                                <w:szCs w:val="28"/>
                              </w:rPr>
                            </w:pPr>
                            <w:r w:rsidRPr="00111904">
                              <w:rPr>
                                <w:b/>
                                <w:bCs/>
                                <w:sz w:val="28"/>
                                <w:szCs w:val="2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63310E" id="Rectangle: Rounded Corners 4" o:spid="_x0000_s1026" style="position:absolute;margin-left:-4.75pt;margin-top:7.2pt;width:87.8pt;height:3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">
                <v:textbox>
                  <w:txbxContent>
                    <w:p w14:paraId="123C1B27" w14:textId="77777777" w:rsidR="00610885" w:rsidRPr="00111904" w:rsidRDefault="00610885" w:rsidP="00610885">
                      <w:pPr>
                        <w:jc w:val="center"/>
                        <w:rPr>
                          <w:b/>
                          <w:bCs/>
                          <w:sz w:val="28"/>
                          <w:szCs w:val="28"/>
                        </w:rPr>
                      </w:pPr>
                      <w:r w:rsidRPr="00111904">
                        <w:rPr>
                          <w:b/>
                          <w:bCs/>
                          <w:sz w:val="28"/>
                          <w:szCs w:val="28"/>
                        </w:rPr>
                        <w:t>DỰ THẢO</w:t>
                      </w:r>
                    </w:p>
                  </w:txbxContent>
                </v:textbox>
              </v:roundrect>
            </w:pict>
          </mc:Fallback>
        </mc:AlternateContent>
      </w:r>
      <w:r w:rsidRPr="00CC2A66">
        <w:rPr>
          <w:rFonts w:eastAsia="Times New Roman" w:cs="Times New Roman"/>
          <w:b/>
          <w:kern w:val="0"/>
          <w:szCs w:val="28"/>
          <w:lang w:eastAsia="x-none"/>
          <w14:ligatures w14:val="none"/>
        </w:rPr>
        <w:t xml:space="preserve">    </w:t>
      </w:r>
    </w:p>
    <w:p w14:paraId="0ECD43A8" w14:textId="77777777" w:rsidR="00610885" w:rsidRPr="00CC2A66" w:rsidRDefault="00610885" w:rsidP="00610885">
      <w:pPr>
        <w:spacing w:after="0" w:line="240" w:lineRule="auto"/>
        <w:rPr>
          <w:rFonts w:ascii=".VnTime" w:eastAsia="Times New Roman" w:hAnsi=".VnTime" w:cs="Times New Roman"/>
          <w:kern w:val="0"/>
          <w:sz w:val="24"/>
          <w:lang w:eastAsia="x-none"/>
          <w14:ligatures w14:val="none"/>
        </w:rPr>
      </w:pPr>
    </w:p>
    <w:p w14:paraId="73A9491D" w14:textId="77777777" w:rsidR="00610885" w:rsidRPr="00CC2A66" w:rsidRDefault="00610885" w:rsidP="00610885">
      <w:pPr>
        <w:keepNext/>
        <w:tabs>
          <w:tab w:val="left" w:pos="0"/>
        </w:tabs>
        <w:suppressAutoHyphens/>
        <w:spacing w:after="0" w:line="240" w:lineRule="auto"/>
        <w:jc w:val="center"/>
        <w:outlineLvl w:val="3"/>
        <w:rPr>
          <w:rFonts w:eastAsia="Times New Roman" w:cs="Times New Roman"/>
          <w:b/>
          <w:kern w:val="0"/>
          <w:sz w:val="28"/>
          <w:szCs w:val="28"/>
          <w:lang w:eastAsia="x-none"/>
          <w14:ligatures w14:val="none"/>
        </w:rPr>
      </w:pPr>
      <w:r w:rsidRPr="00CC2A66">
        <w:rPr>
          <w:rFonts w:eastAsia="Times New Roman" w:cs="Times New Roman"/>
          <w:b/>
          <w:kern w:val="0"/>
          <w:sz w:val="28"/>
          <w:szCs w:val="28"/>
          <w:lang w:eastAsia="x-none"/>
          <w14:ligatures w14:val="none"/>
        </w:rPr>
        <w:t>BÁO CÁO</w:t>
      </w:r>
    </w:p>
    <w:p w14:paraId="4066C982" w14:textId="77777777" w:rsidR="00610885" w:rsidRPr="00CC2A66" w:rsidRDefault="00610885" w:rsidP="00610885">
      <w:pPr>
        <w:spacing w:after="0" w:line="240" w:lineRule="auto"/>
        <w:jc w:val="center"/>
        <w:rPr>
          <w:rFonts w:eastAsia="Calibri" w:cs="Times New Roman"/>
          <w:b/>
          <w:kern w:val="0"/>
          <w:sz w:val="28"/>
          <w:szCs w:val="22"/>
          <w14:ligatures w14:val="none"/>
        </w:rPr>
      </w:pPr>
      <w:r w:rsidRPr="00CC2A66">
        <w:rPr>
          <w:rFonts w:eastAsia="Calibri" w:cs="Times New Roman"/>
          <w:b/>
          <w:kern w:val="0"/>
          <w:sz w:val="28"/>
          <w:szCs w:val="22"/>
          <w14:ligatures w14:val="none"/>
        </w:rPr>
        <w:t>ĐÁNH GIÁ TÁC ĐỘNG CỦA CHÍNH SÁCH</w:t>
      </w:r>
    </w:p>
    <w:p w14:paraId="424D5053" w14:textId="77777777" w:rsidR="00610885" w:rsidRPr="00CC2A66" w:rsidRDefault="00610885" w:rsidP="00610885">
      <w:pPr>
        <w:spacing w:after="0" w:line="240" w:lineRule="auto"/>
        <w:jc w:val="center"/>
        <w:rPr>
          <w:rFonts w:eastAsia="Times New Roman" w:cs="Times New Roman"/>
          <w:b/>
          <w:kern w:val="0"/>
          <w:sz w:val="28"/>
          <w:szCs w:val="28"/>
          <w:lang w:val="nb-NO"/>
          <w14:ligatures w14:val="none"/>
        </w:rPr>
      </w:pPr>
      <w:r w:rsidRPr="00CC2A66">
        <w:rPr>
          <w:rFonts w:eastAsia="Calibri" w:cs="Times New Roman"/>
          <w:b/>
          <w:kern w:val="0"/>
          <w:sz w:val="28"/>
          <w:szCs w:val="22"/>
          <w14:ligatures w14:val="none"/>
        </w:rPr>
        <w:t xml:space="preserve">Về một số chính sách hỗ trợ đầu tư trên điạ bàn tỉnh Lạng Sơn </w:t>
      </w:r>
    </w:p>
    <w:p w14:paraId="2B0F60A9" w14:textId="77777777" w:rsidR="00610885" w:rsidRPr="00CC2A66" w:rsidRDefault="00610885" w:rsidP="00610885">
      <w:pPr>
        <w:spacing w:before="120" w:after="0" w:line="240" w:lineRule="auto"/>
        <w:ind w:firstLine="720"/>
        <w:jc w:val="both"/>
        <w:rPr>
          <w:b/>
          <w:bCs/>
        </w:rPr>
      </w:pPr>
      <w:r w:rsidRPr="00CC2A66">
        <w:rPr>
          <w:noProof/>
        </w:rPr>
        <mc:AlternateContent>
          <mc:Choice Requires="wps">
            <w:drawing>
              <wp:anchor distT="0" distB="0" distL="114300" distR="114300" simplePos="0" relativeHeight="251662336" behindDoc="0" locked="0" layoutInCell="1" allowOverlap="1" wp14:anchorId="71DB2CD0" wp14:editId="005319E8">
                <wp:simplePos x="0" y="0"/>
                <wp:positionH relativeFrom="margin">
                  <wp:align>center</wp:align>
                </wp:positionH>
                <wp:positionV relativeFrom="paragraph">
                  <wp:posOffset>28649</wp:posOffset>
                </wp:positionV>
                <wp:extent cx="1325245" cy="0"/>
                <wp:effectExtent l="0" t="0" r="0" b="0"/>
                <wp:wrapNone/>
                <wp:docPr id="1619930816"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5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5F1CD0" id="_x0000_t32" coordsize="21600,21600" o:spt="32" o:oned="t" path="m,l21600,21600e" filled="f">
                <v:path arrowok="t" fillok="f" o:connecttype="none"/>
                <o:lock v:ext="edit" shapetype="t"/>
              </v:shapetype>
              <v:shape id="Straight Arrow Connector 7" o:spid="_x0000_s1026" type="#_x0000_t32" style="position:absolute;margin-left:0;margin-top:2.25pt;width:104.35pt;height:0;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">
                <w10:wrap anchorx="margin"/>
              </v:shape>
            </w:pict>
          </mc:Fallback>
        </mc:AlternateContent>
      </w:r>
    </w:p>
    <w:p w14:paraId="07FC0B70" w14:textId="77777777" w:rsidR="00610885" w:rsidRPr="00CC2A66" w:rsidRDefault="00610885" w:rsidP="00610885">
      <w:pPr>
        <w:spacing w:before="120" w:after="0" w:line="240" w:lineRule="auto"/>
        <w:ind w:firstLine="720"/>
        <w:jc w:val="both"/>
        <w:rPr>
          <w:b/>
          <w:bCs/>
          <w:sz w:val="28"/>
          <w:szCs w:val="28"/>
        </w:rPr>
      </w:pPr>
      <w:r w:rsidRPr="00CC2A66">
        <w:rPr>
          <w:b/>
          <w:bCs/>
          <w:sz w:val="28"/>
          <w:szCs w:val="28"/>
        </w:rPr>
        <w:t>I. XÁC ĐỊNH VẤN ĐỀ BẤT CẬP TỔNG QUAN</w:t>
      </w:r>
    </w:p>
    <w:p w14:paraId="6B4F8B92" w14:textId="77777777" w:rsidR="00610885" w:rsidRPr="00CC2A66" w:rsidRDefault="00610885" w:rsidP="00610885">
      <w:pPr>
        <w:spacing w:before="120" w:after="0" w:line="240" w:lineRule="auto"/>
        <w:ind w:firstLine="720"/>
        <w:jc w:val="both"/>
        <w:rPr>
          <w:b/>
          <w:bCs/>
          <w:sz w:val="28"/>
          <w:szCs w:val="28"/>
        </w:rPr>
      </w:pPr>
      <w:r w:rsidRPr="00CC2A66">
        <w:rPr>
          <w:b/>
          <w:bCs/>
          <w:sz w:val="28"/>
          <w:szCs w:val="28"/>
        </w:rPr>
        <w:t xml:space="preserve">1. Bối cảnh xây dựng chính sách </w:t>
      </w:r>
    </w:p>
    <w:p w14:paraId="65AA4F9B" w14:textId="77777777" w:rsidR="00610885" w:rsidRPr="00CC2A66" w:rsidRDefault="00610885" w:rsidP="00610885">
      <w:pPr>
        <w:spacing w:before="120" w:after="0" w:line="240" w:lineRule="auto"/>
        <w:ind w:firstLine="720"/>
        <w:jc w:val="both"/>
        <w:rPr>
          <w:sz w:val="28"/>
          <w:szCs w:val="28"/>
        </w:rPr>
      </w:pPr>
      <w:r w:rsidRPr="00CC2A66">
        <w:rPr>
          <w:sz w:val="28"/>
          <w:szCs w:val="28"/>
        </w:rPr>
        <w:t>Trong những năm qua, Nhà nước ta luôn xác định doanh nghiệp là động lực quan trọng của nền kinh tế, thể hiện qua hệ thống chính sách ưu đãi, hỗ trợ đầu tư ngày càng hoàn thiện (Luật Đầu tư số 143/2025/QH15, Luật Đầu tư công số 58/2024/QH15, Luật Ngân sách nhà nước số 89/2025/QH15). Trung ương đã ban hành Nghị quyết số 57-NQ/TW ngày 22/12/2024 về đột phá khoa học công nghệ, chuyển đổi số và Nghị quyết số 68-NQ/TW ngày 04/5/2025 về phát triển kinh tế tư nhân, tạo nền tảng pháp lý quan trọng cho các địa phương.</w:t>
      </w:r>
    </w:p>
    <w:p w14:paraId="51BCD8FB" w14:textId="77777777" w:rsidR="00610885" w:rsidRPr="00CC2A66" w:rsidRDefault="00610885" w:rsidP="00610885">
      <w:pPr>
        <w:spacing w:before="120" w:after="0" w:line="240" w:lineRule="auto"/>
        <w:ind w:firstLine="720"/>
        <w:jc w:val="both"/>
        <w:rPr>
          <w:sz w:val="28"/>
          <w:szCs w:val="28"/>
        </w:rPr>
      </w:pPr>
      <w:r w:rsidRPr="00CC2A66">
        <w:rPr>
          <w:sz w:val="28"/>
          <w:szCs w:val="28"/>
        </w:rPr>
        <w:t>Tại tỉnh Lạng Sơn, với đặc thù địa hình đồi núi, dân số thưa và vị trí cửa khẩu chiến lược, việc thu hút đầu tư là yếu tố then chốt để thúc đẩy tăng trưởng GRDP và xây dựng nông thôn mới. Tỉnh đã ban hành Nghị quyết số 16/2022/NQ-HĐND ngày 07/7/2022 về một số chính sách hỗ trợ đầu tư. Sau 4 năm triển khai, tỉnh đã phê duyệt chủ trương đầu tư cho 55 dự án với tổng vốn đăng ký đạt 23.648,5 tỷ đồng, góp phần cải thiện môi trường kinh doanh và thúc đẩy phát triển kinh tế - xã hội.</w:t>
      </w:r>
    </w:p>
    <w:p w14:paraId="54DCEFB2" w14:textId="77777777" w:rsidR="00610885" w:rsidRPr="00CC2A66" w:rsidRDefault="00610885" w:rsidP="00610885">
      <w:pPr>
        <w:spacing w:before="120" w:after="0" w:line="240" w:lineRule="auto"/>
        <w:ind w:firstLine="720"/>
        <w:jc w:val="both"/>
        <w:rPr>
          <w:sz w:val="28"/>
          <w:szCs w:val="28"/>
        </w:rPr>
      </w:pPr>
      <w:r w:rsidRPr="00CC2A66">
        <w:rPr>
          <w:sz w:val="28"/>
          <w:szCs w:val="28"/>
        </w:rPr>
        <w:t>Tuy nhiên, qua tổng kết thực tiễn vẫn tồn tại một số hạn chế: cơ chế hỗ trợ chủ yếu sau khi dự án hoàn thành dẫn đến chưa có dự án nào đủ điều kiện hưởng hỗ trợ tài chính; chính sách chưa đồng bộ với định hướng chuyển đổi số, phát triển kinh tế tư nhân và nhu cầu thực tiễn về hạ tầng công nghiệp, nhà lưu trú công nhân, xử lý rác thải, dịch vụ công ích; một số quy định cũ chưa phù hợp với hệ thống pháp luật mới. Việc chỉ sửa đổi, bổ sung một số điều sẽ dẫn đến văn bản phức tạp, chồng chéo và khó áp dụng. Do đó, cần ban hành Nghị quyết mới thay thế toàn bộ để đảm bảo tính thống nhất, minh bạch, khả thi và bám sát chỉ đạo tại Thông báo số 491/TB-UBND ngày 08/11/2025 của UBND tỉnh.</w:t>
      </w:r>
    </w:p>
    <w:p w14:paraId="3AE469B0" w14:textId="77777777" w:rsidR="00610885" w:rsidRPr="00CC2A66" w:rsidRDefault="00610885" w:rsidP="00610885">
      <w:pPr>
        <w:spacing w:before="120" w:after="0" w:line="240" w:lineRule="auto"/>
        <w:ind w:firstLine="720"/>
        <w:jc w:val="both"/>
        <w:rPr>
          <w:b/>
          <w:bCs/>
          <w:sz w:val="28"/>
          <w:szCs w:val="28"/>
        </w:rPr>
      </w:pPr>
      <w:r w:rsidRPr="00CC2A66">
        <w:rPr>
          <w:b/>
          <w:bCs/>
          <w:sz w:val="28"/>
          <w:szCs w:val="28"/>
        </w:rPr>
        <w:t>2. Mục tiêu xây dựng chính sách</w:t>
      </w:r>
    </w:p>
    <w:p w14:paraId="67B75F99" w14:textId="77777777" w:rsidR="00610885" w:rsidRPr="00CC2A66" w:rsidRDefault="00610885" w:rsidP="00610885">
      <w:pPr>
        <w:spacing w:before="120" w:after="0" w:line="240" w:lineRule="auto"/>
        <w:ind w:firstLine="720"/>
        <w:jc w:val="both"/>
        <w:rPr>
          <w:sz w:val="28"/>
          <w:szCs w:val="28"/>
        </w:rPr>
      </w:pPr>
      <w:r w:rsidRPr="00CC2A66">
        <w:rPr>
          <w:sz w:val="28"/>
          <w:szCs w:val="28"/>
        </w:rPr>
        <w:t>a) Mục tiêu tổng thể: Xây dựng chính sách hỗ trợ đầu tư riêng của tỉnh Lạng Sơn với mục tiêu cụ thể hóa đường lối của Đảng và Nhà nước, tạo môi trường đầu tư hấp dẫn, phù hợp với điều kiện thực tế địa phương và hiện thực hóa các mục tiêu Nghị quyết Đại hội Đảng bộ tỉnh.</w:t>
      </w:r>
    </w:p>
    <w:p w14:paraId="00DB688C" w14:textId="77777777" w:rsidR="00610885" w:rsidRPr="00CC2A66" w:rsidRDefault="00610885" w:rsidP="00610885">
      <w:pPr>
        <w:spacing w:before="120" w:after="0" w:line="240" w:lineRule="auto"/>
        <w:ind w:firstLine="720"/>
        <w:jc w:val="both"/>
        <w:rPr>
          <w:sz w:val="28"/>
          <w:szCs w:val="28"/>
        </w:rPr>
      </w:pPr>
      <w:r w:rsidRPr="00CC2A66">
        <w:rPr>
          <w:sz w:val="28"/>
          <w:szCs w:val="28"/>
        </w:rPr>
        <w:t xml:space="preserve">b) Mục tiêu cụ thể: Kế thừa tinh thần và những nội dung còn phù hợp của Nghị quyết số 16/2022/NQ-HĐND; tập trung hỗ trợ tài chính sau đầu tư cho các </w:t>
      </w:r>
      <w:r w:rsidRPr="00CC2A66">
        <w:rPr>
          <w:sz w:val="28"/>
          <w:szCs w:val="28"/>
        </w:rPr>
        <w:lastRenderedPageBreak/>
        <w:t>lĩnh vực ưu tiên (hạ tầng khu/cụm công nghiệp, chợ nông thôn, xã hội hóa lĩnh vực giáo dục-y tế, nhà lưu trú công nhân, xử lý rác thải, hỏa táng/điện táng, đào tạo lao động chuyển đổi số); đảm bảo phù hợp với khả năng cân đối ngân sách tỉnh, thực tiễn triển khai và yêu cầu cải cách hành chính, chuyển đổi số.</w:t>
      </w:r>
    </w:p>
    <w:p w14:paraId="7C466EEA" w14:textId="77777777" w:rsidR="00610885" w:rsidRPr="00CC2A66" w:rsidRDefault="00610885" w:rsidP="00610885">
      <w:pPr>
        <w:spacing w:before="120" w:after="0" w:line="240" w:lineRule="auto"/>
        <w:ind w:firstLine="720"/>
        <w:jc w:val="both"/>
        <w:rPr>
          <w:b/>
          <w:bCs/>
          <w:sz w:val="28"/>
          <w:szCs w:val="28"/>
        </w:rPr>
      </w:pPr>
      <w:r w:rsidRPr="00CC2A66">
        <w:rPr>
          <w:b/>
          <w:bCs/>
          <w:sz w:val="28"/>
          <w:szCs w:val="28"/>
        </w:rPr>
        <w:t>II. ĐÁNH GIÁ TÁC ĐỘNG CỦA CHÍNH SÁCH</w:t>
      </w:r>
    </w:p>
    <w:p w14:paraId="3519FFB8" w14:textId="77777777" w:rsidR="00610885" w:rsidRPr="00CC2A66" w:rsidRDefault="00610885" w:rsidP="00610885">
      <w:pPr>
        <w:spacing w:before="120" w:after="0" w:line="240" w:lineRule="auto"/>
        <w:ind w:firstLine="720"/>
        <w:jc w:val="both"/>
        <w:rPr>
          <w:sz w:val="28"/>
          <w:szCs w:val="28"/>
        </w:rPr>
      </w:pPr>
      <w:r w:rsidRPr="00CC2A66">
        <w:rPr>
          <w:sz w:val="28"/>
          <w:szCs w:val="28"/>
        </w:rPr>
        <w:t>Dự thảo Nghị quyết gồm 03 Chương, 15 Điều, tập trung vào 7 nhóm chính sách chính. Dưới đây là đánh giá tác động cụ thể của từng nhóm:</w:t>
      </w:r>
    </w:p>
    <w:p w14:paraId="41740CD6" w14:textId="77777777" w:rsidR="00610885" w:rsidRPr="00CC2A66" w:rsidRDefault="00610885" w:rsidP="00610885">
      <w:pPr>
        <w:spacing w:before="120" w:after="0" w:line="240" w:lineRule="auto"/>
        <w:ind w:firstLine="720"/>
        <w:jc w:val="both"/>
        <w:rPr>
          <w:sz w:val="28"/>
          <w:szCs w:val="28"/>
        </w:rPr>
      </w:pPr>
      <w:r w:rsidRPr="00CC2A66">
        <w:rPr>
          <w:sz w:val="28"/>
          <w:szCs w:val="28"/>
        </w:rPr>
        <w:t xml:space="preserve">1. Chính sách hỗ trợ đầu tư xây dựng kết cấu hạ tầng kỹ thuật khu công nghiệp, cụm công nghiệp (Điều 5) </w:t>
      </w:r>
    </w:p>
    <w:p w14:paraId="1C1D432A" w14:textId="77777777" w:rsidR="00610885" w:rsidRPr="00CC2A66" w:rsidRDefault="00610885" w:rsidP="00610885">
      <w:pPr>
        <w:spacing w:before="120" w:after="0" w:line="240" w:lineRule="auto"/>
        <w:ind w:firstLine="720"/>
        <w:jc w:val="both"/>
        <w:rPr>
          <w:sz w:val="28"/>
          <w:szCs w:val="28"/>
        </w:rPr>
      </w:pPr>
      <w:r w:rsidRPr="00CC2A66">
        <w:rPr>
          <w:sz w:val="28"/>
          <w:szCs w:val="28"/>
        </w:rPr>
        <w:t>a) Xác định vấn đề: Cơ chế hỗ trợ hiện hành (theo Điều 7, Nghị quyết số 16/2022/NQ-HĐND) chưa thu hút được dự án nào do điều kiện thụ hưởng chưa thực sự phù hợp (yêu cầu nhà đầu tư phải hoàn thành toàn bộ dự án mới được nhận hỗ trợ). Bên cạnh đó, chính sách này cũng chưa có quy định hỗ trợ chuyên biệt dành cho các khu công nghiệp.</w:t>
      </w:r>
    </w:p>
    <w:p w14:paraId="29A6586F" w14:textId="77777777" w:rsidR="00610885" w:rsidRPr="00CC2A66" w:rsidRDefault="00610885" w:rsidP="00610885">
      <w:pPr>
        <w:spacing w:before="120" w:after="0" w:line="240" w:lineRule="auto"/>
        <w:ind w:firstLine="720"/>
        <w:jc w:val="both"/>
        <w:rPr>
          <w:sz w:val="28"/>
          <w:szCs w:val="28"/>
        </w:rPr>
      </w:pPr>
      <w:r w:rsidRPr="00CC2A66">
        <w:rPr>
          <w:sz w:val="28"/>
          <w:szCs w:val="28"/>
        </w:rPr>
        <w:t>b) Mục tiêu giải quyết vấn đề: Thu hút các nhà đầu tư tham gia phát triển hạ tầng công nghiệp quy mô lớn. Việc ngân sách nhà nước chia sẻ một phần chi phí xây dựng kết cấu hạ tầng sẽ tạo động lực mạnh mẽ để thu hút các dự án công nghiệp trọng điểm trên địa bàn tỉnh.</w:t>
      </w:r>
    </w:p>
    <w:p w14:paraId="6D9B5A4F" w14:textId="77777777" w:rsidR="00610885" w:rsidRPr="00CC2A66" w:rsidRDefault="00610885" w:rsidP="00610885">
      <w:pPr>
        <w:spacing w:before="120" w:after="0" w:line="240" w:lineRule="auto"/>
        <w:ind w:firstLine="720"/>
        <w:jc w:val="both"/>
        <w:rPr>
          <w:sz w:val="28"/>
          <w:szCs w:val="28"/>
        </w:rPr>
      </w:pPr>
      <w:r w:rsidRPr="00CC2A66">
        <w:rPr>
          <w:sz w:val="28"/>
          <w:szCs w:val="28"/>
        </w:rPr>
        <w:t>c) Giải pháp đề xuất: Hỗ trợ 200 triệu đồng/ha đối với chi phí đầu tư xây dựng kết cấu hạ tầng kỹ thuật trong hàng rào dự án; mức hỗ trợ tối đa không quá 10 tỷ đồng/cụm công nghiệp và không quá 20 tỷ đồng/khu công nghiệp; giải ngân sau khi dự án hoàn thành, nghiệm thu và đưa vào hoạt động.</w:t>
      </w:r>
    </w:p>
    <w:p w14:paraId="7BE48D8B" w14:textId="77777777" w:rsidR="00610885" w:rsidRPr="00CC2A66" w:rsidRDefault="00610885" w:rsidP="00610885">
      <w:pPr>
        <w:spacing w:before="120" w:after="0" w:line="240" w:lineRule="auto"/>
        <w:ind w:firstLine="720"/>
        <w:jc w:val="both"/>
        <w:rPr>
          <w:sz w:val="28"/>
          <w:szCs w:val="28"/>
        </w:rPr>
      </w:pPr>
      <w:r w:rsidRPr="00CC2A66">
        <w:rPr>
          <w:sz w:val="28"/>
          <w:szCs w:val="28"/>
        </w:rPr>
        <w:t>d) Đánh giá tác động:</w:t>
      </w:r>
    </w:p>
    <w:p w14:paraId="0A170FA6" w14:textId="77777777" w:rsidR="00610885" w:rsidRPr="00CC2A66" w:rsidRDefault="00610885" w:rsidP="00610885">
      <w:pPr>
        <w:spacing w:before="120" w:after="0" w:line="240" w:lineRule="auto"/>
        <w:ind w:firstLine="720"/>
        <w:jc w:val="both"/>
        <w:rPr>
          <w:sz w:val="28"/>
          <w:szCs w:val="28"/>
        </w:rPr>
      </w:pPr>
      <w:r w:rsidRPr="00CC2A66">
        <w:rPr>
          <w:sz w:val="28"/>
          <w:szCs w:val="28"/>
        </w:rPr>
        <w:t>- Đối tượng chịu tác động trực tiếp (nhà đầu tư hạ tầng khu/cụm công nghiệp): Chính sách giúp chia sẻ một phần chi phí đầu tư các hạng mục hạ tầng kỹ thuật. Điều này giúp tạo điều kiện và khuyến khích nhà đầu tư đẩy nhanh tiến độ, đưa dự án vào hoạt động đúng hạn, từ đó sớm thu hút các nhà đầu tư thứ cấp và gia tăng tỷ lệ lấp đầy.</w:t>
      </w:r>
    </w:p>
    <w:p w14:paraId="31C01A6A" w14:textId="068C1FE7" w:rsidR="00610885" w:rsidRPr="00CC2A66" w:rsidRDefault="00610885" w:rsidP="00610885">
      <w:pPr>
        <w:spacing w:before="120" w:after="0" w:line="240" w:lineRule="auto"/>
        <w:ind w:firstLine="720"/>
        <w:jc w:val="both"/>
        <w:rPr>
          <w:sz w:val="28"/>
          <w:szCs w:val="28"/>
        </w:rPr>
      </w:pPr>
      <w:r w:rsidRPr="00CC2A66">
        <w:rPr>
          <w:sz w:val="28"/>
          <w:szCs w:val="28"/>
        </w:rPr>
        <w:t xml:space="preserve">- Đối tượng khác (cơ quan nhà nước và ngân sách tỉnh): Về ngắn hạn, ngân sách tỉnh sẽ phải cân đối và bố trí nguồn vốn hỗ trợ ước tính khoảng </w:t>
      </w:r>
      <w:r w:rsidR="00FF3846" w:rsidRPr="00CC2A66">
        <w:rPr>
          <w:sz w:val="28"/>
          <w:szCs w:val="28"/>
        </w:rPr>
        <w:t xml:space="preserve">270 </w:t>
      </w:r>
      <w:r w:rsidRPr="00CC2A66">
        <w:rPr>
          <w:sz w:val="28"/>
          <w:szCs w:val="28"/>
        </w:rPr>
        <w:t>tỷ đồng/ giai đoạn 2026-2030. Tuy nhiên về dài hạn, chính sách này sẽ giúp tăng nguồn thu ngân sách (thuế) bền vững từ hoạt động sản xuất, kinh doanh của các dự án khi các khu/cụm công nghiệp đi vào vận hành.</w:t>
      </w:r>
    </w:p>
    <w:p w14:paraId="31C21672" w14:textId="77777777" w:rsidR="00610885" w:rsidRPr="00CC2A66" w:rsidRDefault="00610885" w:rsidP="00610885">
      <w:pPr>
        <w:spacing w:before="120" w:after="0" w:line="240" w:lineRule="auto"/>
        <w:ind w:firstLine="720"/>
        <w:jc w:val="both"/>
        <w:rPr>
          <w:sz w:val="28"/>
          <w:szCs w:val="28"/>
        </w:rPr>
      </w:pPr>
      <w:r w:rsidRPr="00CC2A66">
        <w:rPr>
          <w:sz w:val="28"/>
          <w:szCs w:val="28"/>
        </w:rPr>
        <w:t xml:space="preserve">2. Chính sách hỗ trợ đầu tư xây dựng chợ đầu mối, chợ nông thôn (Điều 7) </w:t>
      </w:r>
    </w:p>
    <w:p w14:paraId="7DE3E741" w14:textId="77777777" w:rsidR="00610885" w:rsidRPr="00CC2A66" w:rsidRDefault="00610885" w:rsidP="00610885">
      <w:pPr>
        <w:spacing w:before="120" w:after="0" w:line="240" w:lineRule="auto"/>
        <w:ind w:firstLine="720"/>
        <w:jc w:val="both"/>
        <w:rPr>
          <w:sz w:val="28"/>
          <w:szCs w:val="28"/>
        </w:rPr>
      </w:pPr>
      <w:r w:rsidRPr="00CC2A66">
        <w:rPr>
          <w:sz w:val="28"/>
          <w:szCs w:val="28"/>
        </w:rPr>
        <w:t>a) Xác định vấn đề: Mức hỗ trợ theo quy định hiện hành chưa đủ sức hấp dẫn và không còn phù hợp với suất vốn đầu tư thực tế trong giai đoạn hiện nay. Bên cạnh đó, cơ chế chính sách hiện tại vẫn còn bỏ ngỏ, chưa có quy định hỗ trợ cụ thể đối với loại hình chợ đầu mối.</w:t>
      </w:r>
    </w:p>
    <w:p w14:paraId="2B2BB2A2" w14:textId="77777777" w:rsidR="00610885" w:rsidRPr="00CC2A66" w:rsidRDefault="00610885" w:rsidP="00610885">
      <w:pPr>
        <w:spacing w:before="120" w:after="0" w:line="240" w:lineRule="auto"/>
        <w:ind w:firstLine="720"/>
        <w:jc w:val="both"/>
        <w:rPr>
          <w:sz w:val="28"/>
          <w:szCs w:val="28"/>
        </w:rPr>
      </w:pPr>
      <w:r w:rsidRPr="00CC2A66">
        <w:rPr>
          <w:sz w:val="28"/>
          <w:szCs w:val="28"/>
        </w:rPr>
        <w:t xml:space="preserve">b) Mục tiêu giải quyết vấn đề: Thúc đẩy phát triển hạ tầng thương mại nông thôn, đảm bảo sự đồng bộ và hiện đại hóa mạng lưới chợ. Từ đó, tạo điều kiện </w:t>
      </w:r>
      <w:r w:rsidRPr="00CC2A66">
        <w:rPr>
          <w:sz w:val="28"/>
          <w:szCs w:val="28"/>
        </w:rPr>
        <w:lastRenderedPageBreak/>
        <w:t>thuận lợi cho việc lưu thông hàng hóa, góp phần đẩy mạnh tiêu thụ nông sản và nâng cao thu nhập cho người dân.</w:t>
      </w:r>
    </w:p>
    <w:p w14:paraId="4670BACE" w14:textId="77777777" w:rsidR="00610885" w:rsidRPr="00CC2A66" w:rsidRDefault="00610885" w:rsidP="00610885">
      <w:pPr>
        <w:spacing w:before="120" w:after="0" w:line="240" w:lineRule="auto"/>
        <w:ind w:firstLine="720"/>
        <w:jc w:val="both"/>
        <w:rPr>
          <w:sz w:val="28"/>
          <w:szCs w:val="28"/>
        </w:rPr>
      </w:pPr>
      <w:r w:rsidRPr="00CC2A66">
        <w:rPr>
          <w:sz w:val="28"/>
          <w:szCs w:val="28"/>
        </w:rPr>
        <w:t>c) Giải pháp đề xuất: Hỗ trợ 50% chi phí xây dựng và thiết bị (trước thuế), tối đa 2 tỷ đồng/chợ xây dựng mới và 1,5 tỷ đồng/chợ cải tạo, nâng cấp.</w:t>
      </w:r>
    </w:p>
    <w:p w14:paraId="6DBB5563" w14:textId="77777777" w:rsidR="00610885" w:rsidRPr="00CC2A66" w:rsidRDefault="00610885" w:rsidP="00610885">
      <w:pPr>
        <w:spacing w:before="120" w:after="0" w:line="240" w:lineRule="auto"/>
        <w:ind w:firstLine="720"/>
        <w:jc w:val="both"/>
        <w:rPr>
          <w:sz w:val="28"/>
          <w:szCs w:val="28"/>
        </w:rPr>
      </w:pPr>
      <w:r w:rsidRPr="00CC2A66">
        <w:rPr>
          <w:sz w:val="28"/>
          <w:szCs w:val="28"/>
        </w:rPr>
        <w:t>d) Đánh giá tác động:</w:t>
      </w:r>
    </w:p>
    <w:p w14:paraId="46C7AE07" w14:textId="77777777" w:rsidR="00610885" w:rsidRPr="00CC2A66" w:rsidRDefault="00610885" w:rsidP="00610885">
      <w:pPr>
        <w:spacing w:before="120" w:after="0" w:line="240" w:lineRule="auto"/>
        <w:ind w:firstLine="720"/>
        <w:jc w:val="both"/>
        <w:rPr>
          <w:sz w:val="28"/>
          <w:szCs w:val="28"/>
        </w:rPr>
      </w:pPr>
      <w:r w:rsidRPr="00CC2A66">
        <w:rPr>
          <w:sz w:val="28"/>
          <w:szCs w:val="28"/>
        </w:rPr>
        <w:t>- Đối tượng chịu tác động trực tiếp (nhà đầu tư chợ): Chính sách giải quyết trực tiếp bài toán về phương án bố trí vốn đầu tư, giúp nhà đầu tư giảm một phần chi phí đầu tư ban đầu đã bỏ ra. Việc chia sẻ một phần tài chính này sẽ tạo động lực lớn để khuyến khích các doanh nghiệp, hợp tác xã tham gia. Dự kiến khi chính sách đi vào thực tiễn, mỗi năm sẽ thu hút đầu tư, hoàn thành và đưa vào sử dụng từ 3 đến 5 dự án chợ.</w:t>
      </w:r>
    </w:p>
    <w:p w14:paraId="756C0E25" w14:textId="48B098D0" w:rsidR="00610885" w:rsidRPr="00CC2A66" w:rsidRDefault="00610885" w:rsidP="00610885">
      <w:pPr>
        <w:spacing w:before="120" w:after="0" w:line="240" w:lineRule="auto"/>
        <w:ind w:firstLine="720"/>
        <w:jc w:val="both"/>
        <w:rPr>
          <w:sz w:val="28"/>
          <w:szCs w:val="28"/>
        </w:rPr>
      </w:pPr>
      <w:r w:rsidRPr="00CC2A66">
        <w:rPr>
          <w:sz w:val="28"/>
          <w:szCs w:val="28"/>
        </w:rPr>
        <w:t>- Đối tượng khác (cơ quan nhà nước và ngân sách tỉnh):  Góp phần kêu gọi, thu hút các nguồn lực xã hội hóa tham gia phát triển hệ thống chợ trên địa bàn tỉnh theo hướng hiện đại, đồng bộ qua đó hoàn thiện cơ sở hạ tầng thương mại, nâng cao chất lượng phục vụ và năng lực cạnh tranh</w:t>
      </w:r>
      <w:r w:rsidR="00FF3846" w:rsidRPr="00CC2A66">
        <w:rPr>
          <w:sz w:val="28"/>
          <w:szCs w:val="28"/>
        </w:rPr>
        <w:t xml:space="preserve"> </w:t>
      </w:r>
      <w:r w:rsidRPr="00CC2A66">
        <w:rPr>
          <w:sz w:val="28"/>
          <w:szCs w:val="28"/>
        </w:rPr>
        <w:t>của hệ thống chợ. Mặc dù làm phát sinh chi ngân sách trong ngắn hạn (để hỗ trợ), nhưng về dài hạn, việc các chợ đi vào hoạt động hiệu quả sẽ mở rộng cơ sở thu, tăng các khoản thu từ thuế, phí và dịch vụ liên quan.</w:t>
      </w:r>
    </w:p>
    <w:p w14:paraId="4D6785D8" w14:textId="77777777" w:rsidR="00610885" w:rsidRPr="00CC2A66" w:rsidRDefault="00610885" w:rsidP="00610885">
      <w:pPr>
        <w:spacing w:before="120" w:after="0" w:line="240" w:lineRule="auto"/>
        <w:ind w:firstLine="720"/>
        <w:jc w:val="both"/>
        <w:rPr>
          <w:sz w:val="28"/>
          <w:szCs w:val="28"/>
        </w:rPr>
      </w:pPr>
      <w:r w:rsidRPr="00CC2A66">
        <w:rPr>
          <w:sz w:val="28"/>
          <w:szCs w:val="28"/>
        </w:rPr>
        <w:t>3. Chính sách hỗ trợ đầu tư xây dựng công trình khuyến khích xã hội hóa (Điều 6)</w:t>
      </w:r>
    </w:p>
    <w:p w14:paraId="17869899" w14:textId="77777777" w:rsidR="00610885" w:rsidRPr="00CC2A66" w:rsidRDefault="00610885" w:rsidP="00610885">
      <w:pPr>
        <w:spacing w:before="120" w:after="0" w:line="240" w:lineRule="auto"/>
        <w:ind w:firstLine="720"/>
        <w:jc w:val="both"/>
        <w:rPr>
          <w:sz w:val="28"/>
          <w:szCs w:val="28"/>
        </w:rPr>
      </w:pPr>
      <w:r w:rsidRPr="00CC2A66">
        <w:rPr>
          <w:sz w:val="28"/>
          <w:szCs w:val="28"/>
        </w:rPr>
        <w:t>a) Xác định vấn đề: Việc thu hút đầu tư vào các lĩnh vực xã hội hóa hiện nay chưa đạt hiệu quả như kỳ vọng do thiếu cơ chế hỗ trợ trọng tâm. Thực tiễn đòi hỏi phải xác định rõ các lĩnh vực ưu tiên hỗ trợ (giáo dục - đào tạo, dạy nghề, y tế), đồng thời quy định cụ thể, minh bạch về loại hình, quy mô và tiêu chuẩn dự án để định hướng dòng vốn đầu tư.</w:t>
      </w:r>
    </w:p>
    <w:p w14:paraId="2198D2FE" w14:textId="77777777" w:rsidR="00610885" w:rsidRPr="00CC2A66" w:rsidRDefault="00610885" w:rsidP="00610885">
      <w:pPr>
        <w:spacing w:before="120" w:after="0" w:line="240" w:lineRule="auto"/>
        <w:ind w:firstLine="720"/>
        <w:jc w:val="both"/>
        <w:rPr>
          <w:sz w:val="28"/>
          <w:szCs w:val="28"/>
        </w:rPr>
      </w:pPr>
      <w:r w:rsidRPr="00CC2A66">
        <w:rPr>
          <w:sz w:val="28"/>
          <w:szCs w:val="28"/>
        </w:rPr>
        <w:t>b) Mục tiêu giải quyết vấn đề: Huy động tối đa các nguồn lực xã hội, khuyến khích khu vực tư nhân tham gia đầu tư và cung cấp dịch vụ trong lĩnh vực giáo dục, y tế. Qua đó, góp phần nâng cao chất lượng dịch vụ phục vụ nhân dân, đồng thời từng bước giảm bớt áp lực đầu tư công cho ngân sách nhà nước.</w:t>
      </w:r>
    </w:p>
    <w:p w14:paraId="7EE31098" w14:textId="77777777" w:rsidR="00610885" w:rsidRPr="00CC2A66" w:rsidRDefault="00610885" w:rsidP="00610885">
      <w:pPr>
        <w:spacing w:before="120" w:after="0" w:line="240" w:lineRule="auto"/>
        <w:ind w:firstLine="720"/>
        <w:jc w:val="both"/>
        <w:rPr>
          <w:sz w:val="28"/>
          <w:szCs w:val="28"/>
        </w:rPr>
      </w:pPr>
      <w:r w:rsidRPr="00CC2A66">
        <w:rPr>
          <w:sz w:val="28"/>
          <w:szCs w:val="28"/>
        </w:rPr>
        <w:t>c) Giải pháp đề xuất: Hỗ trợ 30% chi phí đầu tư xây dựng và thiết bị công trình (trước thuế), tổng mức hỗ trợ tối đa không quá 5 tỷ đồng/ 1 dự án; các dự án phải đáp ứng loại hình, tiêu chí quy mô, tiêu chuẩn theo Phụ lục đính kèm Nghị quyết.</w:t>
      </w:r>
    </w:p>
    <w:p w14:paraId="68008B81" w14:textId="77777777" w:rsidR="00610885" w:rsidRPr="00CC2A66" w:rsidRDefault="00610885" w:rsidP="00610885">
      <w:pPr>
        <w:spacing w:before="120" w:after="0" w:line="240" w:lineRule="auto"/>
        <w:ind w:firstLine="720"/>
        <w:jc w:val="both"/>
        <w:rPr>
          <w:sz w:val="28"/>
          <w:szCs w:val="28"/>
        </w:rPr>
      </w:pPr>
      <w:r w:rsidRPr="00CC2A66">
        <w:rPr>
          <w:sz w:val="28"/>
          <w:szCs w:val="28"/>
        </w:rPr>
        <w:t>d) Đánh giá tác động:</w:t>
      </w:r>
    </w:p>
    <w:p w14:paraId="77F4D077" w14:textId="77777777" w:rsidR="00610885" w:rsidRPr="00CC2A66" w:rsidRDefault="00610885" w:rsidP="00610885">
      <w:pPr>
        <w:spacing w:before="120" w:after="0" w:line="240" w:lineRule="auto"/>
        <w:ind w:firstLine="720"/>
        <w:jc w:val="both"/>
        <w:rPr>
          <w:sz w:val="28"/>
          <w:szCs w:val="28"/>
        </w:rPr>
      </w:pPr>
      <w:r w:rsidRPr="00CC2A66">
        <w:rPr>
          <w:sz w:val="28"/>
          <w:szCs w:val="28"/>
        </w:rPr>
        <w:t>- Đối tượng chịu tác động trực tiếp (nhà đầu tư xã hội hóa): Việc ngân sách chia sẻ một phần chi phí giúp nhà đầu tư giảm gánh nặng tài chính ban đầu và rút ngắn thời gian thu hồi vốn. Đây là điểm nhấn quan trọng để thu hút sự quan tâm và thúc đẩy các nhà đầu tư triển khai các dự án xã hội hóa theo đúng quy hoạch của tỉnh.</w:t>
      </w:r>
    </w:p>
    <w:p w14:paraId="05EE680F" w14:textId="77777777" w:rsidR="00610885" w:rsidRPr="00CC2A66" w:rsidRDefault="00610885" w:rsidP="00610885">
      <w:pPr>
        <w:spacing w:before="120" w:after="0" w:line="240" w:lineRule="auto"/>
        <w:ind w:firstLine="720"/>
        <w:jc w:val="both"/>
        <w:rPr>
          <w:sz w:val="28"/>
          <w:szCs w:val="28"/>
        </w:rPr>
      </w:pPr>
      <w:r w:rsidRPr="00CC2A66">
        <w:rPr>
          <w:sz w:val="28"/>
          <w:szCs w:val="28"/>
        </w:rPr>
        <w:lastRenderedPageBreak/>
        <w:t>- Đối tượng khác (cơ quan nhà nước và ngân sách tỉnh): Khuyến khích sự phát triển của hệ thống giáo dục, y tế ngoài công lập, tạo ra môi trường cạnh tranh lành mạnh. Người dân có thêm nhiều lựa chọn tiếp cận với các dịch vụ chất lượng cao, góp phần đảm bảo tốt hơn công tác an sinh xã hội tại địa phương. Về ngắn hạn, ngân sách tỉnh sẽ phải cân đối và bố trí khoảng 70 tỷ đồng/giai đoạn 2026 -2030 để thực hiện chi trả hỗ trợ (chỉ giải ngân sau khi dự án đã hoàn thành). Tuy nhiên về dài hạn, chính sách này mang lại hiệu quả lớn khi giúp tiết kiệm đáng kể nguồn chi từ ngân sách nhà nước cho việc xây dựng, duy tu và vận hành các công trình sự nghiệp công lập.</w:t>
      </w:r>
    </w:p>
    <w:p w14:paraId="261AC09F" w14:textId="77777777" w:rsidR="00610885" w:rsidRPr="00CC2A66" w:rsidRDefault="00610885" w:rsidP="00610885">
      <w:pPr>
        <w:spacing w:before="120" w:after="0" w:line="240" w:lineRule="auto"/>
        <w:ind w:firstLine="720"/>
        <w:jc w:val="both"/>
        <w:rPr>
          <w:sz w:val="28"/>
          <w:szCs w:val="28"/>
        </w:rPr>
      </w:pPr>
      <w:r w:rsidRPr="00CC2A66">
        <w:rPr>
          <w:sz w:val="28"/>
          <w:szCs w:val="28"/>
        </w:rPr>
        <w:t xml:space="preserve">4. Chính sách hỗ trợ đào tạo lao động (Điều 11) </w:t>
      </w:r>
    </w:p>
    <w:p w14:paraId="6B5C5DF0" w14:textId="77777777" w:rsidR="00610885" w:rsidRPr="00CC2A66" w:rsidRDefault="00610885" w:rsidP="00610885">
      <w:pPr>
        <w:spacing w:before="120" w:after="0" w:line="240" w:lineRule="auto"/>
        <w:ind w:firstLine="720"/>
        <w:jc w:val="both"/>
        <w:rPr>
          <w:sz w:val="28"/>
          <w:szCs w:val="28"/>
        </w:rPr>
      </w:pPr>
      <w:r w:rsidRPr="00CC2A66">
        <w:rPr>
          <w:sz w:val="28"/>
          <w:szCs w:val="28"/>
        </w:rPr>
        <w:t>a) Xác định vấn đề: Cơ chế hỗ trợ hiện hành không còn phù hợp với thực tiễn biến động của thị trường lao động và chi phí đào tạo hiện nay. Đặc biệt, quy định cũ đang thiếu các chính sách hỗ trợ phát triển nguồn nhân lực chất lượng cao, chưa bao quát được nhóm lao động chuyên sâu về kỹ năng ứng dụng công nghệ cao và chuyển đổi số.</w:t>
      </w:r>
    </w:p>
    <w:p w14:paraId="518CB9A5" w14:textId="77777777" w:rsidR="00610885" w:rsidRPr="00CC2A66" w:rsidRDefault="00610885" w:rsidP="00610885">
      <w:pPr>
        <w:spacing w:before="120" w:after="0" w:line="240" w:lineRule="auto"/>
        <w:ind w:firstLine="720"/>
        <w:jc w:val="both"/>
        <w:rPr>
          <w:sz w:val="28"/>
          <w:szCs w:val="28"/>
        </w:rPr>
      </w:pPr>
      <w:r w:rsidRPr="00CC2A66">
        <w:rPr>
          <w:sz w:val="28"/>
          <w:szCs w:val="28"/>
        </w:rPr>
        <w:t>b) Mục tiêu giải quyết vấn đề: Nâng cao chất lượng và đa dạng hóa nguồn nhân lực nhằm đáp ứng kịp thời, chính xác nhu cầu tuyển dụng của các dự án đầu tư trên địa bàn tỉnh. Trọng tâm của chính sách là chú trọng công tác đào tạo, phát triển đội ngũ lao động có kỹ năng thích ứng nhanh với yêu cầu của kỷ nguyên khoa học công nghệ và chuyển đổi số.</w:t>
      </w:r>
    </w:p>
    <w:p w14:paraId="1EBAD9B7" w14:textId="77777777" w:rsidR="00610885" w:rsidRPr="00CC2A66" w:rsidRDefault="00610885" w:rsidP="00610885">
      <w:pPr>
        <w:spacing w:before="120" w:after="0" w:line="240" w:lineRule="auto"/>
        <w:ind w:firstLine="720"/>
        <w:jc w:val="both"/>
        <w:rPr>
          <w:sz w:val="28"/>
          <w:szCs w:val="28"/>
        </w:rPr>
      </w:pPr>
      <w:r w:rsidRPr="00CC2A66">
        <w:rPr>
          <w:sz w:val="28"/>
          <w:szCs w:val="28"/>
        </w:rPr>
        <w:t>c) Giải pháp đề xuất: Mỗi dự án được hỗ trợ tối đa 01 lần cho mỗi lao động, mức hỗ trợ tối đa không quá 1 tỷ đồng/1 dự án, cụ thể:</w:t>
      </w:r>
    </w:p>
    <w:p w14:paraId="013F151B" w14:textId="77777777" w:rsidR="00610885" w:rsidRPr="00CC2A66" w:rsidRDefault="00610885" w:rsidP="00610885">
      <w:pPr>
        <w:spacing w:before="120" w:after="0" w:line="240" w:lineRule="auto"/>
        <w:ind w:firstLine="720"/>
        <w:jc w:val="both"/>
        <w:rPr>
          <w:sz w:val="28"/>
          <w:szCs w:val="28"/>
        </w:rPr>
      </w:pPr>
      <w:r w:rsidRPr="00CC2A66">
        <w:rPr>
          <w:sz w:val="28"/>
          <w:szCs w:val="28"/>
        </w:rPr>
        <w:t>- Đào tạo sơ cấp, dưới 03 tháng: tối đa 3 triệu đồng/lao động/khóa;</w:t>
      </w:r>
    </w:p>
    <w:p w14:paraId="6C195531" w14:textId="77777777" w:rsidR="00610885" w:rsidRPr="00CC2A66" w:rsidRDefault="00610885" w:rsidP="00610885">
      <w:pPr>
        <w:spacing w:before="120" w:after="0" w:line="240" w:lineRule="auto"/>
        <w:ind w:firstLine="720"/>
        <w:jc w:val="both"/>
        <w:rPr>
          <w:sz w:val="28"/>
          <w:szCs w:val="28"/>
        </w:rPr>
      </w:pPr>
      <w:r w:rsidRPr="00CC2A66">
        <w:rPr>
          <w:sz w:val="28"/>
          <w:szCs w:val="28"/>
        </w:rPr>
        <w:t>- Đào tạo trung cấp, cao đẳng: hỗ trợ học phí thực tế nhưng không vượt mức trần công lập;</w:t>
      </w:r>
    </w:p>
    <w:p w14:paraId="22E63556" w14:textId="77777777" w:rsidR="00610885" w:rsidRPr="00CC2A66" w:rsidRDefault="00610885" w:rsidP="00610885">
      <w:pPr>
        <w:spacing w:before="120" w:after="0" w:line="240" w:lineRule="auto"/>
        <w:ind w:firstLine="720"/>
        <w:jc w:val="both"/>
        <w:rPr>
          <w:sz w:val="28"/>
          <w:szCs w:val="28"/>
        </w:rPr>
      </w:pPr>
      <w:r w:rsidRPr="00CC2A66">
        <w:rPr>
          <w:sz w:val="28"/>
          <w:szCs w:val="28"/>
        </w:rPr>
        <w:t>- Đào tạo kỹ năng khoa học công nghệ, chuyển đổi số: tối đa 5 triệu đồng/lao động/khóa (khóa học từ 5 ngày trở lên).</w:t>
      </w:r>
    </w:p>
    <w:p w14:paraId="7498DEE8" w14:textId="77777777" w:rsidR="00610885" w:rsidRPr="00CC2A66" w:rsidRDefault="00610885" w:rsidP="00610885">
      <w:pPr>
        <w:spacing w:before="120" w:after="0" w:line="240" w:lineRule="auto"/>
        <w:ind w:firstLine="720"/>
        <w:jc w:val="both"/>
        <w:rPr>
          <w:sz w:val="28"/>
          <w:szCs w:val="28"/>
        </w:rPr>
      </w:pPr>
      <w:r w:rsidRPr="00CC2A66">
        <w:rPr>
          <w:sz w:val="28"/>
          <w:szCs w:val="28"/>
        </w:rPr>
        <w:t>d) Đánh giá tác động:</w:t>
      </w:r>
    </w:p>
    <w:p w14:paraId="27AC731A" w14:textId="77777777" w:rsidR="00610885" w:rsidRPr="00CC2A66" w:rsidRDefault="00610885" w:rsidP="00610885">
      <w:pPr>
        <w:spacing w:before="120" w:after="0" w:line="240" w:lineRule="auto"/>
        <w:ind w:firstLine="720"/>
        <w:jc w:val="both"/>
        <w:rPr>
          <w:sz w:val="28"/>
          <w:szCs w:val="28"/>
        </w:rPr>
      </w:pPr>
      <w:r w:rsidRPr="00CC2A66">
        <w:rPr>
          <w:sz w:val="28"/>
          <w:szCs w:val="28"/>
        </w:rPr>
        <w:t>- Đối tượng chịu tác động trực tiếp (nhà đầu tư và người lao động): Chính sách giúp các doanh nghiệp tiết giảm đáng kể chi phí tuyển dụng và đào tạo nhân sự ban đầu, tạo an tâm để mở rộng sản xuất. Về phía người lao động, họ được hỗ trợ nâng cao tay nghề, tiếp cận các kỹ năng công nghệ mới, từ đó dễ dàng có được vị trí việc làm chất lượng cao cùng thu nhập ổn định.</w:t>
      </w:r>
    </w:p>
    <w:p w14:paraId="1DC87A00" w14:textId="77777777" w:rsidR="00610885" w:rsidRPr="00CC2A66" w:rsidRDefault="00610885" w:rsidP="00610885">
      <w:pPr>
        <w:spacing w:before="120" w:after="0" w:line="240" w:lineRule="auto"/>
        <w:ind w:firstLine="720"/>
        <w:jc w:val="both"/>
        <w:rPr>
          <w:sz w:val="28"/>
          <w:szCs w:val="28"/>
        </w:rPr>
      </w:pPr>
      <w:r w:rsidRPr="00CC2A66">
        <w:rPr>
          <w:sz w:val="28"/>
          <w:szCs w:val="28"/>
        </w:rPr>
        <w:t>- Đối tượng khác (cơ quan nhà nước và ngân sách tỉnh): Việc cải thiện chất lượng nguồn nhân lực giúp nâng cao năng suất lao động toàn xã hội.Dù làm phát sinh chi phí ngắn hạn (hỗ trợ đào tạo lao động dự kiến khoảng 35 tỷ đồng/ giai đoạn 2026- 2030), nhưng đây là khoản đầu tư mang tính chiến lược cho nguồn nhân lực, tạo ra giá trị thặng dư bền vững cho nền kinh tế địa phương trong dài hạn.</w:t>
      </w:r>
    </w:p>
    <w:p w14:paraId="2EFD0567" w14:textId="77777777" w:rsidR="00610885" w:rsidRPr="00CC2A66" w:rsidRDefault="00610885" w:rsidP="00610885">
      <w:pPr>
        <w:spacing w:before="120" w:after="0" w:line="240" w:lineRule="auto"/>
        <w:ind w:firstLine="720"/>
        <w:jc w:val="both"/>
        <w:rPr>
          <w:sz w:val="28"/>
          <w:szCs w:val="28"/>
        </w:rPr>
      </w:pPr>
    </w:p>
    <w:p w14:paraId="3BC50B1F" w14:textId="77777777" w:rsidR="00610885" w:rsidRPr="00CC2A66" w:rsidRDefault="00610885" w:rsidP="00610885">
      <w:pPr>
        <w:spacing w:before="120" w:after="0" w:line="240" w:lineRule="auto"/>
        <w:ind w:firstLine="720"/>
        <w:jc w:val="both"/>
        <w:rPr>
          <w:sz w:val="28"/>
          <w:szCs w:val="28"/>
        </w:rPr>
      </w:pPr>
      <w:r w:rsidRPr="00CC2A66">
        <w:rPr>
          <w:sz w:val="28"/>
          <w:szCs w:val="28"/>
        </w:rPr>
        <w:lastRenderedPageBreak/>
        <w:t>5. Chính sách hỗ trợ đầu tư xây dựng nhà lưu trú cho công nhân tại khu công nghiệp (Điều 8)</w:t>
      </w:r>
    </w:p>
    <w:p w14:paraId="114881C7" w14:textId="77777777" w:rsidR="00610885" w:rsidRPr="00CC2A66" w:rsidRDefault="00610885" w:rsidP="00610885">
      <w:pPr>
        <w:spacing w:before="120" w:after="0" w:line="240" w:lineRule="auto"/>
        <w:ind w:firstLine="720"/>
        <w:jc w:val="both"/>
        <w:rPr>
          <w:sz w:val="28"/>
          <w:szCs w:val="28"/>
        </w:rPr>
      </w:pPr>
      <w:r w:rsidRPr="00CC2A66">
        <w:rPr>
          <w:sz w:val="28"/>
          <w:szCs w:val="28"/>
        </w:rPr>
        <w:t xml:space="preserve">a) Xác định vấn đề: Hiện nay chưa có cơ chế chính sách hỗ trợ phát triển quỹ nhà lưu trú tập trung cho công nhân trong các khu công nghiệp. </w:t>
      </w:r>
    </w:p>
    <w:p w14:paraId="25A756C8" w14:textId="77777777" w:rsidR="00610885" w:rsidRPr="00CC2A66" w:rsidRDefault="00610885" w:rsidP="00610885">
      <w:pPr>
        <w:spacing w:before="120" w:after="0" w:line="240" w:lineRule="auto"/>
        <w:ind w:firstLine="720"/>
        <w:jc w:val="both"/>
        <w:rPr>
          <w:sz w:val="28"/>
          <w:szCs w:val="28"/>
        </w:rPr>
      </w:pPr>
      <w:r w:rsidRPr="00CC2A66">
        <w:rPr>
          <w:sz w:val="28"/>
          <w:szCs w:val="28"/>
        </w:rPr>
        <w:t>b) Mục tiêu giải quyết vấn đề: Góp phần đảm bảo an sinh xã hội, gắn kết mục tiêu phát triển công nghiệp bền vững với việc ổn định và nâng cao đời sống vật chất, tinh thần cho người lao động.</w:t>
      </w:r>
    </w:p>
    <w:p w14:paraId="1FB905EF" w14:textId="77777777" w:rsidR="00610885" w:rsidRPr="00CC2A66" w:rsidRDefault="00610885" w:rsidP="00610885">
      <w:pPr>
        <w:spacing w:before="120" w:after="0" w:line="240" w:lineRule="auto"/>
        <w:ind w:firstLine="720"/>
        <w:jc w:val="both"/>
        <w:rPr>
          <w:sz w:val="28"/>
          <w:szCs w:val="28"/>
        </w:rPr>
      </w:pPr>
      <w:r w:rsidRPr="00CC2A66">
        <w:rPr>
          <w:sz w:val="28"/>
          <w:szCs w:val="28"/>
        </w:rPr>
        <w:t>c) Giải pháp đề xuất: Hỗ trợ 50% chi phí xây dựng hệ thống hạ tầng kỹ thuật trong phạm vi, ranh giới khu đất (trước thuế), tối đa không quá 10 tỷ đồng/dự án.</w:t>
      </w:r>
    </w:p>
    <w:p w14:paraId="18255C0C" w14:textId="77777777" w:rsidR="00610885" w:rsidRPr="00CC2A66" w:rsidRDefault="00610885" w:rsidP="00610885">
      <w:pPr>
        <w:spacing w:before="120" w:after="0" w:line="240" w:lineRule="auto"/>
        <w:ind w:firstLine="720"/>
        <w:jc w:val="both"/>
        <w:rPr>
          <w:sz w:val="28"/>
          <w:szCs w:val="28"/>
        </w:rPr>
      </w:pPr>
      <w:r w:rsidRPr="00CC2A66">
        <w:rPr>
          <w:sz w:val="28"/>
          <w:szCs w:val="28"/>
        </w:rPr>
        <w:t>d) Đánh giá tác động:</w:t>
      </w:r>
    </w:p>
    <w:p w14:paraId="6C48F101" w14:textId="77777777" w:rsidR="00610885" w:rsidRPr="00CC2A66" w:rsidRDefault="00610885" w:rsidP="00610885">
      <w:pPr>
        <w:spacing w:before="120" w:after="0" w:line="240" w:lineRule="auto"/>
        <w:ind w:firstLine="720"/>
        <w:jc w:val="both"/>
        <w:rPr>
          <w:sz w:val="28"/>
          <w:szCs w:val="28"/>
        </w:rPr>
      </w:pPr>
      <w:r w:rsidRPr="00CC2A66">
        <w:rPr>
          <w:sz w:val="28"/>
          <w:szCs w:val="28"/>
        </w:rPr>
        <w:t>- Đối tượng chịu tác động trực tiếp (nhà đầu tư xây dựng nhà lưu trú): Giảm tải áp lực tài chính, giúp nhà đầu tư tiết giảm một phần chi phí đầu tư hạ tầng ban đầu đã bỏ ra. Việc đầu tư nhà lưu trú đảm bảo hạ tầng góp phần giảm chi phí sinh hoạt và ảnh hưởng tích cực đến mức độ gắn bó, ổn định nguồn lao động tại các khu công nghiệp.</w:t>
      </w:r>
    </w:p>
    <w:p w14:paraId="4552997E" w14:textId="2BA93695" w:rsidR="00610885" w:rsidRPr="00CC2A66" w:rsidRDefault="00610885" w:rsidP="00610885">
      <w:pPr>
        <w:spacing w:before="120" w:after="0" w:line="240" w:lineRule="auto"/>
        <w:ind w:firstLine="720"/>
        <w:jc w:val="both"/>
        <w:rPr>
          <w:sz w:val="28"/>
          <w:szCs w:val="28"/>
        </w:rPr>
      </w:pPr>
      <w:r w:rsidRPr="00CC2A66">
        <w:rPr>
          <w:sz w:val="28"/>
          <w:szCs w:val="28"/>
        </w:rPr>
        <w:t>- Đối tượng khác (cơ quan nhà nước và ngân sách tỉnh): Cải thiện rõ rệt điều kiện sống cho công nhân, từ đó tăng tỷ lệ thu hút và giữ chân lao động tại địa phương, đảm bảo nguồn nhân lực ổn định cho các doanh nghiệp sản xuất, kinh doanh. Ngân sách tỉnh dự kiến phải cân đối và bố trí nguồn chi hỗ trợ trực tiếp khoảng 50 tỷ đồng/giai đoạn 2026-2030</w:t>
      </w:r>
      <w:r w:rsidR="005E3B22">
        <w:rPr>
          <w:sz w:val="28"/>
          <w:szCs w:val="28"/>
        </w:rPr>
        <w:t xml:space="preserve"> và các năm tiếp theo</w:t>
      </w:r>
      <w:r w:rsidRPr="00CC2A66">
        <w:rPr>
          <w:sz w:val="28"/>
          <w:szCs w:val="28"/>
        </w:rPr>
        <w:t xml:space="preserve"> để thực hiện chính sách này.</w:t>
      </w:r>
    </w:p>
    <w:p w14:paraId="0CD7406E" w14:textId="77777777" w:rsidR="00610885" w:rsidRPr="00CC2A66" w:rsidRDefault="00610885" w:rsidP="00610885">
      <w:pPr>
        <w:spacing w:before="120" w:after="0" w:line="240" w:lineRule="auto"/>
        <w:ind w:firstLine="720"/>
        <w:jc w:val="both"/>
        <w:rPr>
          <w:sz w:val="28"/>
          <w:szCs w:val="28"/>
        </w:rPr>
      </w:pPr>
      <w:r w:rsidRPr="00CC2A66">
        <w:rPr>
          <w:sz w:val="28"/>
          <w:szCs w:val="28"/>
        </w:rPr>
        <w:t>6. Chính sách hỗ trợ dự án đầu tư xử lý rác thải sinh hoạt (Điều 9)</w:t>
      </w:r>
    </w:p>
    <w:p w14:paraId="38CF84A4" w14:textId="77777777" w:rsidR="00610885" w:rsidRPr="00CC2A66" w:rsidRDefault="00610885" w:rsidP="00610885">
      <w:pPr>
        <w:spacing w:before="120" w:after="0" w:line="240" w:lineRule="auto"/>
        <w:ind w:firstLine="720"/>
        <w:jc w:val="both"/>
        <w:rPr>
          <w:sz w:val="28"/>
          <w:szCs w:val="28"/>
        </w:rPr>
      </w:pPr>
      <w:r w:rsidRPr="00CC2A66">
        <w:rPr>
          <w:sz w:val="28"/>
          <w:szCs w:val="28"/>
        </w:rPr>
        <w:t>a) Xác định vấn đề: Hiện nay, tỉnh chưa ban hành chính sách hỗ trợ chuyên biệt trong lĩnh vực này, dẫn đến sự thiếu đồng bộ về hạ tầng bảo vệ môi trường trong bối cảnh áp lực về thu gom và xử lý rác thải sinh hoạt ngày càng gia tăng.</w:t>
      </w:r>
    </w:p>
    <w:p w14:paraId="0C2068C3" w14:textId="609D08B9" w:rsidR="00610885" w:rsidRPr="00CC2A66" w:rsidRDefault="00610885" w:rsidP="00610885">
      <w:pPr>
        <w:spacing w:before="120" w:after="0" w:line="240" w:lineRule="auto"/>
        <w:ind w:firstLine="720"/>
        <w:jc w:val="both"/>
        <w:rPr>
          <w:sz w:val="28"/>
          <w:szCs w:val="28"/>
        </w:rPr>
      </w:pPr>
      <w:r w:rsidRPr="00CC2A66">
        <w:rPr>
          <w:sz w:val="28"/>
          <w:szCs w:val="28"/>
        </w:rPr>
        <w:t>b) Mục tiêu giải quyết vấn đề: Kh</w:t>
      </w:r>
      <w:r w:rsidR="00FF3846" w:rsidRPr="00CC2A66">
        <w:rPr>
          <w:sz w:val="28"/>
          <w:szCs w:val="28"/>
        </w:rPr>
        <w:t>u</w:t>
      </w:r>
      <w:r w:rsidRPr="00CC2A66">
        <w:rPr>
          <w:sz w:val="28"/>
          <w:szCs w:val="28"/>
        </w:rPr>
        <w:t>yến khích các thành phần kinh tế tham gia đầu tư các dự án xử lý rác thải áp dụng công nghệ tiên tiến, hiện đại, qua đó giải quyết triệt để vấn đề ô nhiễm và bảo vệ môi trường sinh thái bền vững.</w:t>
      </w:r>
    </w:p>
    <w:p w14:paraId="525FCADE" w14:textId="77777777" w:rsidR="00610885" w:rsidRPr="00CC2A66" w:rsidRDefault="00610885" w:rsidP="00610885">
      <w:pPr>
        <w:spacing w:before="120" w:after="0" w:line="240" w:lineRule="auto"/>
        <w:ind w:firstLine="720"/>
        <w:jc w:val="both"/>
        <w:rPr>
          <w:sz w:val="28"/>
          <w:szCs w:val="28"/>
        </w:rPr>
      </w:pPr>
      <w:r w:rsidRPr="00CC2A66">
        <w:rPr>
          <w:sz w:val="28"/>
          <w:szCs w:val="28"/>
        </w:rPr>
        <w:t>c) Giải pháp đề xuất: Hỗ trợ 30% chi phí mua sắm thiết bị, máy móc xử lý rác thải theo hợp đồng (trước thuế), tối đa không quá 15 tỷ đồng/dự án.</w:t>
      </w:r>
    </w:p>
    <w:p w14:paraId="3FF6922C" w14:textId="77777777" w:rsidR="00610885" w:rsidRPr="00CC2A66" w:rsidRDefault="00610885" w:rsidP="00610885">
      <w:pPr>
        <w:spacing w:before="120" w:after="0" w:line="240" w:lineRule="auto"/>
        <w:ind w:firstLine="720"/>
        <w:jc w:val="both"/>
        <w:rPr>
          <w:sz w:val="28"/>
          <w:szCs w:val="28"/>
        </w:rPr>
      </w:pPr>
      <w:r w:rsidRPr="00CC2A66">
        <w:rPr>
          <w:sz w:val="28"/>
          <w:szCs w:val="28"/>
        </w:rPr>
        <w:t>d) Đánh giá tác động:</w:t>
      </w:r>
    </w:p>
    <w:p w14:paraId="71526E8F" w14:textId="77777777" w:rsidR="00610885" w:rsidRPr="00CC2A66" w:rsidRDefault="00610885" w:rsidP="00610885">
      <w:pPr>
        <w:spacing w:before="120" w:after="0" w:line="240" w:lineRule="auto"/>
        <w:ind w:firstLine="720"/>
        <w:jc w:val="both"/>
        <w:rPr>
          <w:sz w:val="28"/>
          <w:szCs w:val="28"/>
        </w:rPr>
      </w:pPr>
      <w:r w:rsidRPr="00CC2A66">
        <w:rPr>
          <w:sz w:val="28"/>
          <w:szCs w:val="28"/>
        </w:rPr>
        <w:t>- Đối tượng chịu tác động trực tiếp (nhà đầu tư nhà máy xử lý rác): Việc ngân sách nhà nước hỗ trợ trực tiếp giúp doanh nghiệp giảm từ 30% đến 50% tổng chi phí đầu tư hệ thống máy móc, thiết bị, làm tăng tính khả thi và sức hấp dẫn của dự án.</w:t>
      </w:r>
    </w:p>
    <w:p w14:paraId="02685638" w14:textId="77777777" w:rsidR="00610885" w:rsidRPr="00CC2A66" w:rsidRDefault="00610885" w:rsidP="00610885">
      <w:pPr>
        <w:spacing w:before="120" w:after="0" w:line="240" w:lineRule="auto"/>
        <w:ind w:firstLine="720"/>
        <w:jc w:val="both"/>
        <w:rPr>
          <w:sz w:val="28"/>
          <w:szCs w:val="28"/>
        </w:rPr>
      </w:pPr>
      <w:r w:rsidRPr="00CC2A66">
        <w:rPr>
          <w:sz w:val="28"/>
          <w:szCs w:val="28"/>
        </w:rPr>
        <w:t xml:space="preserve">- Đối tượng khác (cơ quan nhà nước và ngân sách tỉnh): Ngân sách tỉnh ước tính phải bố trí khoản chi hỗ trợ trực tiếp khoảng 30 tỷ đồng/giai đoạn 2026- 2030. Về lâu dài, chính sách sẽ góp phần từng bước giải quyết dứt điểm tình trạng ô </w:t>
      </w:r>
      <w:r w:rsidRPr="00CC2A66">
        <w:rPr>
          <w:sz w:val="28"/>
          <w:szCs w:val="28"/>
        </w:rPr>
        <w:lastRenderedPageBreak/>
        <w:t>nhiễm do rác thải sinh hoạt, bảo vệ sức khỏe cộng đồng và nâng cao chất lượng môi trường sống cho người dân trên địa bàn.</w:t>
      </w:r>
    </w:p>
    <w:p w14:paraId="77C055F7" w14:textId="77777777" w:rsidR="00610885" w:rsidRPr="00CC2A66" w:rsidRDefault="00610885" w:rsidP="00610885">
      <w:pPr>
        <w:spacing w:before="120" w:after="0" w:line="240" w:lineRule="auto"/>
        <w:ind w:firstLine="720"/>
        <w:jc w:val="both"/>
        <w:rPr>
          <w:sz w:val="28"/>
          <w:szCs w:val="28"/>
        </w:rPr>
      </w:pPr>
      <w:r w:rsidRPr="00CC2A66">
        <w:rPr>
          <w:sz w:val="28"/>
          <w:szCs w:val="28"/>
        </w:rPr>
        <w:t>7. Chính sách hỗ trợ đầu tư cơ sở hỏa táng, điện táng thuộc dự án đầu tư nghĩa trang (Điều 10)</w:t>
      </w:r>
    </w:p>
    <w:p w14:paraId="28AEEAB5" w14:textId="77777777" w:rsidR="00610885" w:rsidRPr="00CC2A66" w:rsidRDefault="00610885" w:rsidP="00610885">
      <w:pPr>
        <w:spacing w:before="120" w:after="0" w:line="240" w:lineRule="auto"/>
        <w:ind w:firstLine="720"/>
        <w:jc w:val="both"/>
        <w:rPr>
          <w:sz w:val="28"/>
          <w:szCs w:val="28"/>
        </w:rPr>
      </w:pPr>
      <w:r w:rsidRPr="00CC2A66">
        <w:rPr>
          <w:sz w:val="28"/>
          <w:szCs w:val="28"/>
        </w:rPr>
        <w:t>a) Xác định vấn đề: Hiện nay, trên địa bàn tỉnh chưa có các dự án đầu tư nghĩa trang tư nhân (bao gồm cơ sở hỏa táng, điện táng), dẫn đến thiếu hụt cơ sở vật chất, buộc người dân phải di chuyển sang các tỉnh lân cận để sử dụng dịch vụ tang lễ, gây tốn kém và bất tiện. Việc chưa có cơ chế hỗ trợ đặc thù, đồng thời đây là lĩnh vực đòi hỏi vốn đầu tư và công nghệ cao nhưng tỷ suất lợi nhuận thấp, nên chưa thu hút được sự quan tâm của các nhà đầu tư.</w:t>
      </w:r>
    </w:p>
    <w:p w14:paraId="596EE39D" w14:textId="77777777" w:rsidR="00610885" w:rsidRPr="00CC2A66" w:rsidRDefault="00610885" w:rsidP="00610885">
      <w:pPr>
        <w:spacing w:before="120" w:after="0" w:line="240" w:lineRule="auto"/>
        <w:ind w:firstLine="720"/>
        <w:jc w:val="both"/>
        <w:rPr>
          <w:sz w:val="28"/>
          <w:szCs w:val="28"/>
        </w:rPr>
      </w:pPr>
      <w:r w:rsidRPr="00CC2A66">
        <w:rPr>
          <w:sz w:val="28"/>
          <w:szCs w:val="28"/>
        </w:rPr>
        <w:t>b) Mục tiêu giải quyết vấn đề: Xây dựng chính sách nhằm thu hút các nhà đầu tư tham gia vào lĩnh vực nghĩa trang (bao gồm cơ sở hỏa táng, điện táng) nhằm đáp ứng kịp thời nhu cầu thiết yếu của nhân dân về dịch vụ tang lễ văn minh, hiện đại; đồng thời góp phần tiết kiệm quỹ đất đai và giảm thiểu tác động tiêu cực đến môi trường.</w:t>
      </w:r>
    </w:p>
    <w:p w14:paraId="0E1EF147" w14:textId="77777777" w:rsidR="00610885" w:rsidRPr="00CC2A66" w:rsidRDefault="00610885" w:rsidP="00610885">
      <w:pPr>
        <w:spacing w:before="120" w:after="0" w:line="240" w:lineRule="auto"/>
        <w:ind w:firstLine="720"/>
        <w:jc w:val="both"/>
        <w:rPr>
          <w:sz w:val="28"/>
          <w:szCs w:val="28"/>
        </w:rPr>
      </w:pPr>
      <w:r w:rsidRPr="00CC2A66">
        <w:rPr>
          <w:sz w:val="28"/>
          <w:szCs w:val="28"/>
        </w:rPr>
        <w:t>c) Giải pháp đề xuất: Hỗ trợ 50% chi phí mua sắm, lắp đặt thiết bị phục vụ hỏa táng, điện táng theo hợp đồng (trước thuế), tối đa không quá 10 tỷ đồng/dự án.</w:t>
      </w:r>
    </w:p>
    <w:p w14:paraId="541AF234" w14:textId="77777777" w:rsidR="00610885" w:rsidRPr="00CC2A66" w:rsidRDefault="00610885" w:rsidP="00610885">
      <w:pPr>
        <w:spacing w:before="120" w:after="0" w:line="240" w:lineRule="auto"/>
        <w:ind w:firstLine="720"/>
        <w:jc w:val="both"/>
        <w:rPr>
          <w:sz w:val="28"/>
          <w:szCs w:val="28"/>
        </w:rPr>
      </w:pPr>
      <w:r w:rsidRPr="00CC2A66">
        <w:rPr>
          <w:sz w:val="28"/>
          <w:szCs w:val="28"/>
        </w:rPr>
        <w:t>d) Đánh giá tác động:</w:t>
      </w:r>
    </w:p>
    <w:p w14:paraId="28CAA4AF" w14:textId="77777777" w:rsidR="00610885" w:rsidRPr="00CC2A66" w:rsidRDefault="00610885" w:rsidP="00610885">
      <w:pPr>
        <w:spacing w:before="120" w:after="0" w:line="240" w:lineRule="auto"/>
        <w:ind w:firstLine="720"/>
        <w:jc w:val="both"/>
        <w:rPr>
          <w:sz w:val="28"/>
          <w:szCs w:val="28"/>
        </w:rPr>
      </w:pPr>
      <w:r w:rsidRPr="00CC2A66">
        <w:rPr>
          <w:sz w:val="28"/>
          <w:szCs w:val="28"/>
        </w:rPr>
        <w:t>- Đối tượng chịu tác động trực tiếp (nhà đầu tư cơ sở hỏa táng): Giảm bớt gánh nặng tài chính cho nhà đầu tư, nâng cao tính khả thi của dự án, góp phần rút ngắn thời gian thu hồi vốn cho nhà đầu tư.</w:t>
      </w:r>
    </w:p>
    <w:p w14:paraId="011CA7B8" w14:textId="77777777" w:rsidR="00610885" w:rsidRPr="00CC2A66" w:rsidRDefault="00610885" w:rsidP="00610885">
      <w:pPr>
        <w:spacing w:before="120" w:after="0" w:line="240" w:lineRule="auto"/>
        <w:ind w:firstLine="720"/>
        <w:jc w:val="both"/>
        <w:rPr>
          <w:sz w:val="28"/>
          <w:szCs w:val="28"/>
        </w:rPr>
      </w:pPr>
      <w:r w:rsidRPr="00CC2A66">
        <w:rPr>
          <w:sz w:val="28"/>
          <w:szCs w:val="28"/>
        </w:rPr>
        <w:t>- Đối tượng khác (cơ quan nhà nước và ngân sách tỉnh): Khuyến khích sự thay đổi tập quán mai táng truyền thống theo hướng văn minh, đồng thời giảm thiểu đáng kể áp lực lên quỹ đất dành cho các nghĩa trang truyền thống hiện nay. n sách tỉnh cần chuẩn bị và cân đối nguồn lực để chi hỗ trợ trực tiếp khoảng 10 tỷ đồng/1 dự án khi dự án hoàn thành và đi vào hoạt động.</w:t>
      </w:r>
    </w:p>
    <w:p w14:paraId="435ADEAA" w14:textId="77777777" w:rsidR="00610885" w:rsidRPr="00CC2A66" w:rsidRDefault="00610885" w:rsidP="00610885">
      <w:pPr>
        <w:spacing w:before="120" w:after="0" w:line="240" w:lineRule="auto"/>
        <w:ind w:firstLine="720"/>
        <w:jc w:val="both"/>
        <w:rPr>
          <w:b/>
          <w:bCs/>
          <w:sz w:val="28"/>
          <w:szCs w:val="28"/>
        </w:rPr>
      </w:pPr>
      <w:r w:rsidRPr="00CC2A66">
        <w:rPr>
          <w:b/>
          <w:bCs/>
          <w:sz w:val="28"/>
          <w:szCs w:val="28"/>
        </w:rPr>
        <w:t>III. ĐÁNH GIÁ TÁC ĐỘNG CỦA CÁC GIẢI PHÁP ĐỐI VỚI ĐỐI TƯỢNG CHỊU SỰ TÁC ĐỘNG TRỰC TIẾP CỦA CHÍNH SÁCH VÀ CÁC ĐỐI TƯỢNG KHÁC CÓ LIÊN QUAN</w:t>
      </w:r>
    </w:p>
    <w:p w14:paraId="101CE8AB" w14:textId="77777777" w:rsidR="00610885" w:rsidRPr="00CC2A66" w:rsidRDefault="00610885" w:rsidP="00610885">
      <w:pPr>
        <w:spacing w:before="120" w:after="0" w:line="240" w:lineRule="auto"/>
        <w:ind w:firstLine="720"/>
        <w:jc w:val="both"/>
        <w:rPr>
          <w:sz w:val="28"/>
          <w:szCs w:val="28"/>
        </w:rPr>
      </w:pPr>
      <w:r w:rsidRPr="00CC2A66">
        <w:rPr>
          <w:b/>
          <w:bCs/>
          <w:sz w:val="28"/>
          <w:szCs w:val="28"/>
        </w:rPr>
        <w:t>1. Lợi ích</w:t>
      </w:r>
      <w:r w:rsidRPr="00CC2A66">
        <w:rPr>
          <w:sz w:val="28"/>
          <w:szCs w:val="28"/>
        </w:rPr>
        <w:t xml:space="preserve"> </w:t>
      </w:r>
    </w:p>
    <w:p w14:paraId="40169CF2" w14:textId="77777777" w:rsidR="00610885" w:rsidRPr="00CC2A66" w:rsidRDefault="00610885" w:rsidP="00610885">
      <w:pPr>
        <w:spacing w:before="120" w:after="0" w:line="240" w:lineRule="auto"/>
        <w:ind w:firstLine="720"/>
        <w:jc w:val="both"/>
        <w:rPr>
          <w:sz w:val="28"/>
          <w:szCs w:val="28"/>
        </w:rPr>
      </w:pPr>
      <w:r w:rsidRPr="00CC2A66">
        <w:rPr>
          <w:sz w:val="28"/>
          <w:szCs w:val="28"/>
        </w:rPr>
        <w:t>- Việc ban hành chính sách sẽ tạo lập một hành lang pháp lý minh bạch, thống nhất và vững chắc; trở thành công cụ hỗ trợ mạnh mẽ, trực tiếp, tạo niềm tin cho các nhà đầu tư khi đến với tỉnh.</w:t>
      </w:r>
    </w:p>
    <w:p w14:paraId="3E8FCBED" w14:textId="77777777" w:rsidR="00610885" w:rsidRPr="00CC2A66" w:rsidRDefault="00610885" w:rsidP="00610885">
      <w:pPr>
        <w:spacing w:before="120" w:after="0" w:line="240" w:lineRule="auto"/>
        <w:ind w:firstLine="720"/>
        <w:jc w:val="both"/>
        <w:rPr>
          <w:sz w:val="28"/>
          <w:szCs w:val="28"/>
        </w:rPr>
      </w:pPr>
      <w:r w:rsidRPr="00CC2A66">
        <w:rPr>
          <w:sz w:val="28"/>
          <w:szCs w:val="28"/>
        </w:rPr>
        <w:t>- Về hiệu quả kinh tế: Chính sách sẽ phát huy vai trò tạo hiệu quả trong công tác thu hút đầu tư. Dự kiến với nguồn ngân sách tỉnh hỗ trợ khoảng 544 tỷ đồng trong giai đoạn 2026 - 2030, tỉnh sẽ thu hút thêm được từ 1.000 đến 1.500 tỷ đồng/năm nguồn vốn đầu tư toàn xã hội. Dòng vốn này sẽ đóng góp trực tiếp vào việc gia tăng quy mô GRDP, đảm bảo hoàn thành các mục tiêu tăng trưởng kinh tế của địa phương.</w:t>
      </w:r>
    </w:p>
    <w:p w14:paraId="2D8F1F09" w14:textId="77777777" w:rsidR="00610885" w:rsidRPr="00CC2A66" w:rsidRDefault="00610885" w:rsidP="00610885">
      <w:pPr>
        <w:spacing w:before="120" w:after="0" w:line="240" w:lineRule="auto"/>
        <w:ind w:firstLine="720"/>
        <w:jc w:val="both"/>
        <w:rPr>
          <w:sz w:val="28"/>
          <w:szCs w:val="28"/>
        </w:rPr>
      </w:pPr>
      <w:r w:rsidRPr="00CC2A66">
        <w:rPr>
          <w:sz w:val="28"/>
          <w:szCs w:val="28"/>
        </w:rPr>
        <w:lastRenderedPageBreak/>
        <w:t>- Về định hướng phát triển: Chính sách tạo động lực to lớn thúc đẩy tiến trình hoàn thiện kết cấu hạ tầng đồng bộ, nâng cao chất lượng nguồn nhân lực và giải quyết triệt để các vấn đề môi trường. Qua đó, góp phần thực hiện thắng lợi các mục tiêu đề ra tại Nghị quyết Đại hội Đảng bộ tỉnh và các định hướng của Trung ương về phát triển kinh tế tư nhân, đẩy mạnh chuyển đổi số.</w:t>
      </w:r>
    </w:p>
    <w:p w14:paraId="66A6713C" w14:textId="77777777" w:rsidR="00610885" w:rsidRPr="00CC2A66" w:rsidRDefault="00610885" w:rsidP="00610885">
      <w:pPr>
        <w:spacing w:before="120" w:after="0" w:line="240" w:lineRule="auto"/>
        <w:ind w:firstLine="720"/>
        <w:jc w:val="both"/>
        <w:rPr>
          <w:sz w:val="28"/>
          <w:szCs w:val="28"/>
        </w:rPr>
      </w:pPr>
      <w:r w:rsidRPr="00CC2A66">
        <w:rPr>
          <w:b/>
          <w:bCs/>
          <w:sz w:val="28"/>
          <w:szCs w:val="28"/>
        </w:rPr>
        <w:t>2. Tác động</w:t>
      </w:r>
      <w:r w:rsidRPr="00CC2A66">
        <w:rPr>
          <w:sz w:val="28"/>
          <w:szCs w:val="28"/>
        </w:rPr>
        <w:t xml:space="preserve"> </w:t>
      </w:r>
    </w:p>
    <w:p w14:paraId="1A530A41" w14:textId="7C7A4F61" w:rsidR="00610885" w:rsidRPr="00CC2A66" w:rsidRDefault="00610885" w:rsidP="00610885">
      <w:pPr>
        <w:spacing w:before="120" w:after="0" w:line="240" w:lineRule="auto"/>
        <w:ind w:firstLine="720"/>
        <w:jc w:val="both"/>
        <w:rPr>
          <w:sz w:val="28"/>
          <w:szCs w:val="28"/>
        </w:rPr>
      </w:pPr>
      <w:r w:rsidRPr="00CC2A66">
        <w:rPr>
          <w:sz w:val="28"/>
          <w:szCs w:val="28"/>
        </w:rPr>
        <w:t xml:space="preserve">a) Tác động về tài chính: Việc thực hiện chính sách dự kiến làm phát sinh chi ngân sách tỉnh khoảng 544 tỷ đồng trong giai đoạn 2026 </w:t>
      </w:r>
      <w:r w:rsidR="005E3B22">
        <w:rPr>
          <w:sz w:val="28"/>
          <w:szCs w:val="28"/>
        </w:rPr>
        <w:t>–</w:t>
      </w:r>
      <w:r w:rsidRPr="00CC2A66">
        <w:rPr>
          <w:sz w:val="28"/>
          <w:szCs w:val="28"/>
        </w:rPr>
        <w:t xml:space="preserve"> 2030</w:t>
      </w:r>
      <w:r w:rsidR="005E3B22">
        <w:rPr>
          <w:sz w:val="28"/>
          <w:szCs w:val="28"/>
        </w:rPr>
        <w:t xml:space="preserve"> và các năm tiếp theo</w:t>
      </w:r>
      <w:r w:rsidRPr="00CC2A66">
        <w:rPr>
          <w:sz w:val="28"/>
          <w:szCs w:val="28"/>
        </w:rPr>
        <w:t>. Tuy nhiên, ngân sách bỏ ra sẽ được bù đắp và tăng thu ngân sách thông qua các nguồn thu thuế ổn định, bền vững từ hoạt động sản xuất, kinh doanh của các dự án sau khi đi vào vận hành.</w:t>
      </w:r>
    </w:p>
    <w:p w14:paraId="7EBD11F6" w14:textId="77777777" w:rsidR="00610885" w:rsidRPr="00CC2A66" w:rsidRDefault="00610885" w:rsidP="00610885">
      <w:pPr>
        <w:spacing w:before="120" w:after="0" w:line="240" w:lineRule="auto"/>
        <w:ind w:firstLine="720"/>
        <w:jc w:val="both"/>
        <w:rPr>
          <w:sz w:val="28"/>
          <w:szCs w:val="28"/>
        </w:rPr>
      </w:pPr>
      <w:r w:rsidRPr="00CC2A66">
        <w:rPr>
          <w:sz w:val="28"/>
          <w:szCs w:val="28"/>
        </w:rPr>
        <w:t>b) Tác động về xã hội: Tạo việc làm ổn định cho 5.000-6.000 lao động/năm (chủ yếu từ các dự án hạ tầng công nghiệp, nhà lưu trú công nhân, chợ nông thôn và đào tạo lao động), cải thiện đời sống nông thôn, nâng cao an sinh xã hội và giảm áp lực di cư ra đô thị.</w:t>
      </w:r>
    </w:p>
    <w:p w14:paraId="36670CF8" w14:textId="77777777" w:rsidR="00610885" w:rsidRPr="00CC2A66" w:rsidRDefault="00610885" w:rsidP="00610885">
      <w:pPr>
        <w:spacing w:before="120" w:after="0" w:line="240" w:lineRule="auto"/>
        <w:ind w:firstLine="720"/>
        <w:jc w:val="both"/>
        <w:rPr>
          <w:sz w:val="28"/>
          <w:szCs w:val="28"/>
        </w:rPr>
      </w:pPr>
      <w:r w:rsidRPr="00CC2A66">
        <w:rPr>
          <w:sz w:val="28"/>
          <w:szCs w:val="28"/>
        </w:rPr>
        <w:t>c) Về môi trường: Hỗ trợ xử lý rác thải sinh hoạt và cơ sở hỏa táng/điện táng đạt chuẩn quốc gia, góp phần giảm ô nhiễm, tiết kiệm quỹ đất và thúc đẩy phát triển môi trường bền vững.</w:t>
      </w:r>
    </w:p>
    <w:p w14:paraId="2A6950A6" w14:textId="77777777" w:rsidR="00610885" w:rsidRPr="00CC2A66" w:rsidRDefault="00610885" w:rsidP="00610885">
      <w:pPr>
        <w:spacing w:before="120" w:after="0" w:line="240" w:lineRule="auto"/>
        <w:ind w:firstLine="720"/>
        <w:jc w:val="both"/>
        <w:rPr>
          <w:sz w:val="28"/>
          <w:szCs w:val="28"/>
        </w:rPr>
      </w:pPr>
      <w:r w:rsidRPr="00CC2A66">
        <w:rPr>
          <w:sz w:val="28"/>
          <w:szCs w:val="28"/>
        </w:rPr>
        <w:t>d) Tác động về hệ thống pháp luật: Không ảnh hưởng tiêu cực, đảm bảo đồng bộ, thống nhất với hệ thống pháp luật hiện hành (Luật Đầu tư số 143/2025/QH15, Luật Ngân sách nhà nước số 89/2025/QH15 và các luật liên quan).</w:t>
      </w:r>
    </w:p>
    <w:p w14:paraId="2547BFE1" w14:textId="2CA2E57D" w:rsidR="00610885" w:rsidRPr="00CC2A66" w:rsidRDefault="00610885" w:rsidP="00610885">
      <w:pPr>
        <w:spacing w:before="120" w:after="0" w:line="240" w:lineRule="auto"/>
        <w:ind w:firstLine="720"/>
        <w:jc w:val="both"/>
        <w:rPr>
          <w:sz w:val="28"/>
          <w:szCs w:val="28"/>
        </w:rPr>
      </w:pPr>
      <w:r w:rsidRPr="00CC2A66">
        <w:rPr>
          <w:sz w:val="28"/>
          <w:szCs w:val="28"/>
        </w:rPr>
        <w:t>đ) Tác động đến doanh nghiệp: Tăng sức hấp dẫn môi trường đầu tư của tỉnh, tạo điều kiện thuận lợi cho nhà đầu tư tiếp cận đất đai, hạ tầng và nguồn nhân lực chất lượng cao.</w:t>
      </w:r>
    </w:p>
    <w:p w14:paraId="4C98F0D5" w14:textId="77777777" w:rsidR="00610885" w:rsidRPr="00CC2A66" w:rsidRDefault="00610885" w:rsidP="00610885">
      <w:pPr>
        <w:widowControl w:val="0"/>
        <w:snapToGrid w:val="0"/>
        <w:spacing w:before="120" w:after="0" w:line="240" w:lineRule="auto"/>
        <w:ind w:firstLine="720"/>
        <w:jc w:val="both"/>
        <w:rPr>
          <w:b/>
          <w:sz w:val="28"/>
          <w:szCs w:val="28"/>
          <w:lang w:val="de-DE"/>
        </w:rPr>
      </w:pPr>
      <w:r w:rsidRPr="00CC2A66">
        <w:rPr>
          <w:b/>
          <w:sz w:val="28"/>
          <w:szCs w:val="28"/>
          <w:lang w:val="de-DE"/>
        </w:rPr>
        <w:t>IV. GIÁM SÁT VÀ ĐÁNH GIÁ</w:t>
      </w:r>
    </w:p>
    <w:p w14:paraId="225BE9E8" w14:textId="77777777" w:rsidR="00610885" w:rsidRPr="00CC2A66" w:rsidRDefault="00610885" w:rsidP="00610885">
      <w:pPr>
        <w:widowControl w:val="0"/>
        <w:snapToGrid w:val="0"/>
        <w:spacing w:before="120" w:after="0" w:line="240" w:lineRule="auto"/>
        <w:ind w:firstLine="720"/>
        <w:jc w:val="both"/>
        <w:rPr>
          <w:rFonts w:eastAsia="Times New Roman" w:cs="Times New Roman"/>
          <w:kern w:val="0"/>
          <w:sz w:val="28"/>
          <w:szCs w:val="28"/>
          <w:lang w:val="de-DE"/>
          <w14:ligatures w14:val="none"/>
        </w:rPr>
      </w:pPr>
      <w:r w:rsidRPr="00CC2A66">
        <w:rPr>
          <w:rFonts w:eastAsia="Times New Roman" w:cs="Times New Roman"/>
          <w:kern w:val="0"/>
          <w:sz w:val="28"/>
          <w:szCs w:val="28"/>
          <w:lang w:val="de-DE"/>
          <w14:ligatures w14:val="none"/>
        </w:rPr>
        <w:t>UBND tỉnh đã giao Sở Tài chính chủ trì, phối hợp với các Sở, ngành tổ chức, hướng dẫn triển khai thực hiện chính sách; đồng thời phối hợp với các sở, ngành, đoàn thể tổ chức kiểm tra, giám sát, đánh giá việc thực hiện chính và báo cáo UBND tỉnh và cấp thẩm quyền theo quy định./.</w:t>
      </w:r>
    </w:p>
    <w:p w14:paraId="3B292A8B" w14:textId="77777777" w:rsidR="00610885" w:rsidRPr="00CC2A66" w:rsidRDefault="00610885" w:rsidP="00610885">
      <w:pPr>
        <w:widowControl w:val="0"/>
        <w:snapToGrid w:val="0"/>
        <w:spacing w:before="120" w:after="0" w:line="240" w:lineRule="auto"/>
        <w:ind w:firstLine="720"/>
        <w:jc w:val="both"/>
        <w:rPr>
          <w:rFonts w:eastAsia="Times New Roman" w:cs="Times New Roman"/>
          <w:kern w:val="0"/>
          <w:sz w:val="28"/>
          <w:szCs w:val="28"/>
          <w:lang w:val="de-DE"/>
          <w14:ligatures w14:val="none"/>
        </w:rPr>
      </w:pPr>
    </w:p>
    <w:tbl>
      <w:tblPr>
        <w:tblW w:w="0" w:type="auto"/>
        <w:tblInd w:w="108" w:type="dxa"/>
        <w:tblLook w:val="01E0" w:firstRow="1" w:lastRow="1" w:firstColumn="1" w:lastColumn="1" w:noHBand="0" w:noVBand="0"/>
      </w:tblPr>
      <w:tblGrid>
        <w:gridCol w:w="4462"/>
        <w:gridCol w:w="4502"/>
      </w:tblGrid>
      <w:tr w:rsidR="00610885" w:rsidRPr="00CC2A66" w14:paraId="386C7B8F" w14:textId="77777777" w:rsidTr="008219BE">
        <w:tc>
          <w:tcPr>
            <w:tcW w:w="4536" w:type="dxa"/>
            <w:hideMark/>
          </w:tcPr>
          <w:p w14:paraId="3551F85A" w14:textId="77777777" w:rsidR="00610885" w:rsidRPr="00CC2A66" w:rsidRDefault="00610885" w:rsidP="008219BE">
            <w:pPr>
              <w:spacing w:after="0" w:line="240" w:lineRule="auto"/>
              <w:jc w:val="both"/>
              <w:rPr>
                <w:rFonts w:eastAsia="Times New Roman" w:cs="Times New Roman"/>
                <w:b/>
                <w:i/>
                <w:kern w:val="0"/>
                <w:sz w:val="24"/>
                <w:lang w:val="sv-SE"/>
                <w14:ligatures w14:val="none"/>
              </w:rPr>
            </w:pPr>
            <w:r w:rsidRPr="00CC2A66">
              <w:rPr>
                <w:rFonts w:eastAsia="Times New Roman" w:cs="Times New Roman"/>
                <w:b/>
                <w:i/>
                <w:kern w:val="0"/>
                <w:sz w:val="24"/>
                <w:lang w:val="vi-VN"/>
                <w14:ligatures w14:val="none"/>
              </w:rPr>
              <w:t>Nơi nhận</w:t>
            </w:r>
            <w:r w:rsidRPr="00CC2A66">
              <w:rPr>
                <w:rFonts w:eastAsia="Times New Roman" w:cs="Times New Roman"/>
                <w:b/>
                <w:i/>
                <w:kern w:val="0"/>
                <w:sz w:val="24"/>
                <w:lang w:val="sv-SE"/>
                <w14:ligatures w14:val="none"/>
              </w:rPr>
              <w:t>:</w:t>
            </w:r>
          </w:p>
          <w:p w14:paraId="24B17714" w14:textId="77777777" w:rsidR="00610885" w:rsidRPr="00CC2A66" w:rsidRDefault="00610885" w:rsidP="008219BE">
            <w:pPr>
              <w:spacing w:after="0" w:line="240" w:lineRule="auto"/>
              <w:jc w:val="both"/>
              <w:rPr>
                <w:rFonts w:eastAsia="Times New Roman" w:cs="Times New Roman"/>
                <w:kern w:val="0"/>
                <w:sz w:val="22"/>
                <w:szCs w:val="22"/>
                <w:lang w:val="sv-SE"/>
                <w14:ligatures w14:val="none"/>
              </w:rPr>
            </w:pPr>
            <w:r w:rsidRPr="00CC2A66">
              <w:rPr>
                <w:rFonts w:eastAsia="Times New Roman" w:cs="Times New Roman"/>
                <w:kern w:val="0"/>
                <w:sz w:val="22"/>
                <w:szCs w:val="22"/>
                <w:lang w:val="vi-VN"/>
                <w14:ligatures w14:val="none"/>
              </w:rPr>
              <w:t xml:space="preserve">- </w:t>
            </w:r>
            <w:r w:rsidRPr="00CC2A66">
              <w:rPr>
                <w:rFonts w:eastAsia="Times New Roman" w:cs="Times New Roman"/>
                <w:kern w:val="0"/>
                <w:sz w:val="22"/>
                <w:szCs w:val="22"/>
                <w:lang w:val="de-DE"/>
                <w14:ligatures w14:val="none"/>
              </w:rPr>
              <w:t>UBND</w:t>
            </w:r>
            <w:r w:rsidRPr="00CC2A66">
              <w:rPr>
                <w:rFonts w:eastAsia="Times New Roman" w:cs="Times New Roman"/>
                <w:kern w:val="0"/>
                <w:sz w:val="22"/>
                <w:szCs w:val="22"/>
                <w:lang w:val="sv-SE"/>
                <w14:ligatures w14:val="none"/>
              </w:rPr>
              <w:t xml:space="preserve"> tỉnh (B/c)</w:t>
            </w:r>
            <w:r w:rsidRPr="00CC2A66">
              <w:rPr>
                <w:rFonts w:eastAsia="Times New Roman" w:cs="Times New Roman"/>
                <w:kern w:val="0"/>
                <w:sz w:val="22"/>
                <w:szCs w:val="22"/>
                <w:lang w:val="vi-VN"/>
                <w14:ligatures w14:val="none"/>
              </w:rPr>
              <w:t xml:space="preserve">;  </w:t>
            </w:r>
          </w:p>
          <w:p w14:paraId="473200B3" w14:textId="77777777" w:rsidR="00610885" w:rsidRPr="00CC2A66" w:rsidRDefault="00610885" w:rsidP="008219BE">
            <w:pPr>
              <w:spacing w:after="0" w:line="240" w:lineRule="auto"/>
              <w:jc w:val="both"/>
              <w:rPr>
                <w:rFonts w:eastAsia="Times New Roman" w:cs="Times New Roman"/>
                <w:kern w:val="0"/>
                <w:sz w:val="22"/>
                <w:szCs w:val="22"/>
                <w:lang w:val="vi-VN"/>
                <w14:ligatures w14:val="none"/>
              </w:rPr>
            </w:pPr>
            <w:r w:rsidRPr="00CC2A66">
              <w:rPr>
                <w:rFonts w:eastAsia="Times New Roman" w:cs="Times New Roman"/>
                <w:kern w:val="0"/>
                <w:sz w:val="22"/>
                <w:szCs w:val="22"/>
                <w:lang w:val="sv-SE"/>
                <w14:ligatures w14:val="none"/>
              </w:rPr>
              <w:t>- Sở Tư pháp;</w:t>
            </w:r>
            <w:r w:rsidRPr="00CC2A66">
              <w:rPr>
                <w:rFonts w:eastAsia="Times New Roman" w:cs="Times New Roman"/>
                <w:kern w:val="0"/>
                <w:sz w:val="22"/>
                <w:szCs w:val="22"/>
                <w:lang w:val="vi-VN"/>
                <w14:ligatures w14:val="none"/>
              </w:rPr>
              <w:tab/>
            </w:r>
            <w:r w:rsidRPr="00CC2A66">
              <w:rPr>
                <w:rFonts w:eastAsia="Times New Roman" w:cs="Times New Roman"/>
                <w:kern w:val="0"/>
                <w:sz w:val="22"/>
                <w:szCs w:val="22"/>
                <w:lang w:val="vi-VN"/>
                <w14:ligatures w14:val="none"/>
              </w:rPr>
              <w:tab/>
              <w:t xml:space="preserve">    </w:t>
            </w:r>
          </w:p>
          <w:p w14:paraId="6451A2F9" w14:textId="77777777" w:rsidR="00610885" w:rsidRPr="00CC2A66" w:rsidRDefault="00610885" w:rsidP="008219BE">
            <w:pPr>
              <w:spacing w:after="0" w:line="240" w:lineRule="auto"/>
              <w:jc w:val="both"/>
              <w:rPr>
                <w:rFonts w:eastAsia="Times New Roman" w:cs="Times New Roman"/>
                <w:kern w:val="0"/>
                <w:sz w:val="22"/>
                <w:szCs w:val="22"/>
                <w:lang w:val="sv-SE"/>
                <w14:ligatures w14:val="none"/>
              </w:rPr>
            </w:pPr>
            <w:r w:rsidRPr="00CC2A66">
              <w:rPr>
                <w:rFonts w:eastAsia="Times New Roman" w:cs="Times New Roman"/>
                <w:kern w:val="0"/>
                <w:sz w:val="22"/>
                <w:szCs w:val="22"/>
                <w:lang w:val="sv-SE"/>
                <w14:ligatures w14:val="none"/>
              </w:rPr>
              <w:t>- Lãnh đạo Sở;</w:t>
            </w:r>
          </w:p>
          <w:p w14:paraId="2AE62365" w14:textId="77777777" w:rsidR="00610885" w:rsidRPr="00CC2A66" w:rsidRDefault="00610885" w:rsidP="008219BE">
            <w:pPr>
              <w:spacing w:after="0" w:line="240" w:lineRule="auto"/>
              <w:jc w:val="both"/>
              <w:rPr>
                <w:rFonts w:eastAsia="Times New Roman" w:cs="Times New Roman"/>
                <w:kern w:val="0"/>
                <w:sz w:val="22"/>
                <w:szCs w:val="22"/>
                <w:lang w:val="sv-SE"/>
                <w14:ligatures w14:val="none"/>
              </w:rPr>
            </w:pPr>
            <w:r w:rsidRPr="00CC2A66">
              <w:rPr>
                <w:rFonts w:eastAsia="Times New Roman" w:cs="Times New Roman"/>
                <w:kern w:val="0"/>
                <w:sz w:val="22"/>
                <w:szCs w:val="22"/>
                <w:lang w:val="sv-SE"/>
                <w14:ligatures w14:val="none"/>
              </w:rPr>
              <w:t>- Các phòng: QLĐTC, QLNS, HCSN;</w:t>
            </w:r>
          </w:p>
          <w:p w14:paraId="59E8939C" w14:textId="77777777" w:rsidR="00610885" w:rsidRPr="00CC2A66" w:rsidRDefault="00610885" w:rsidP="008219BE">
            <w:pPr>
              <w:spacing w:after="0" w:line="240" w:lineRule="auto"/>
              <w:jc w:val="both"/>
              <w:rPr>
                <w:rFonts w:eastAsia="Times New Roman" w:cs="Times New Roman"/>
                <w:b/>
                <w:i/>
                <w:kern w:val="0"/>
                <w:sz w:val="24"/>
                <w:lang w:val="de-DE"/>
                <w14:ligatures w14:val="none"/>
              </w:rPr>
            </w:pPr>
            <w:r w:rsidRPr="00CC2A66">
              <w:rPr>
                <w:rFonts w:eastAsia="Times New Roman" w:cs="Times New Roman"/>
                <w:kern w:val="0"/>
                <w:sz w:val="22"/>
                <w:szCs w:val="22"/>
                <w:lang w:val="de-DE"/>
                <w14:ligatures w14:val="none"/>
              </w:rPr>
              <w:t>- Lưu: VT, QLĐTNNS</w:t>
            </w:r>
            <w:r w:rsidRPr="00CC2A66">
              <w:rPr>
                <w:rFonts w:eastAsia="Times New Roman" w:cs="Times New Roman"/>
                <w:kern w:val="0"/>
                <w:sz w:val="22"/>
                <w:szCs w:val="22"/>
                <w:lang w:val="de-DE"/>
                <w14:ligatures w14:val="none"/>
              </w:rPr>
              <w:softHyphen/>
            </w:r>
            <w:r w:rsidRPr="00CC2A66">
              <w:rPr>
                <w:rFonts w:eastAsia="Times New Roman" w:cs="Times New Roman"/>
                <w:kern w:val="0"/>
                <w:sz w:val="22"/>
                <w:szCs w:val="22"/>
                <w:vertAlign w:val="subscript"/>
                <w:lang w:val="de-DE"/>
                <w14:ligatures w14:val="none"/>
              </w:rPr>
              <w:t>(LG)</w:t>
            </w:r>
            <w:r w:rsidRPr="00CC2A66">
              <w:rPr>
                <w:rFonts w:eastAsia="Times New Roman" w:cs="Times New Roman"/>
                <w:kern w:val="0"/>
                <w:sz w:val="22"/>
                <w:szCs w:val="22"/>
                <w:lang w:val="de-DE"/>
                <w14:ligatures w14:val="none"/>
              </w:rPr>
              <w:t>.</w:t>
            </w:r>
          </w:p>
        </w:tc>
        <w:tc>
          <w:tcPr>
            <w:tcW w:w="4584" w:type="dxa"/>
          </w:tcPr>
          <w:p w14:paraId="4A73B12C" w14:textId="77777777" w:rsidR="00610885" w:rsidRPr="00CC2A66" w:rsidRDefault="00610885" w:rsidP="008219BE">
            <w:pPr>
              <w:spacing w:after="0" w:line="240" w:lineRule="auto"/>
              <w:jc w:val="center"/>
              <w:rPr>
                <w:rFonts w:eastAsia="Times New Roman" w:cs="Times New Roman"/>
                <w:b/>
                <w:kern w:val="0"/>
                <w:sz w:val="28"/>
                <w:szCs w:val="28"/>
                <w:lang w:val="de-DE"/>
                <w14:ligatures w14:val="none"/>
              </w:rPr>
            </w:pPr>
            <w:r w:rsidRPr="00CC2A66">
              <w:rPr>
                <w:rFonts w:eastAsia="Times New Roman" w:cs="Times New Roman"/>
                <w:b/>
                <w:kern w:val="0"/>
                <w:sz w:val="28"/>
                <w:szCs w:val="28"/>
                <w:lang w:val="de-DE"/>
                <w14:ligatures w14:val="none"/>
              </w:rPr>
              <w:t>KT. GIÁM ĐỐC</w:t>
            </w:r>
          </w:p>
          <w:p w14:paraId="5360B53B" w14:textId="77777777" w:rsidR="00610885" w:rsidRPr="00CC2A66" w:rsidRDefault="00610885" w:rsidP="008219BE">
            <w:pPr>
              <w:spacing w:after="0" w:line="240" w:lineRule="auto"/>
              <w:jc w:val="center"/>
              <w:rPr>
                <w:rFonts w:eastAsia="Times New Roman" w:cs="Times New Roman"/>
                <w:b/>
                <w:kern w:val="0"/>
                <w:sz w:val="28"/>
                <w:szCs w:val="28"/>
                <w:lang w:val="de-DE"/>
                <w14:ligatures w14:val="none"/>
              </w:rPr>
            </w:pPr>
            <w:r w:rsidRPr="00CC2A66">
              <w:rPr>
                <w:rFonts w:eastAsia="Times New Roman" w:cs="Times New Roman"/>
                <w:b/>
                <w:kern w:val="0"/>
                <w:sz w:val="28"/>
                <w:szCs w:val="28"/>
                <w:lang w:val="de-DE"/>
                <w14:ligatures w14:val="none"/>
              </w:rPr>
              <w:t>PHÓ GIÁM ĐỐC</w:t>
            </w:r>
          </w:p>
          <w:p w14:paraId="401586E1" w14:textId="77777777" w:rsidR="00610885" w:rsidRPr="00CC2A66" w:rsidRDefault="00610885" w:rsidP="008219BE">
            <w:pPr>
              <w:spacing w:after="0" w:line="240" w:lineRule="auto"/>
              <w:jc w:val="center"/>
              <w:rPr>
                <w:rFonts w:eastAsia="Times New Roman" w:cs="Times New Roman"/>
                <w:b/>
                <w:kern w:val="0"/>
                <w:sz w:val="28"/>
                <w:szCs w:val="28"/>
                <w:lang w:val="de-DE"/>
                <w14:ligatures w14:val="none"/>
              </w:rPr>
            </w:pPr>
          </w:p>
          <w:p w14:paraId="14E4358A" w14:textId="77777777" w:rsidR="00610885" w:rsidRPr="00CC2A66" w:rsidRDefault="00610885" w:rsidP="008219BE">
            <w:pPr>
              <w:spacing w:after="0" w:line="240" w:lineRule="auto"/>
              <w:jc w:val="center"/>
              <w:rPr>
                <w:rFonts w:eastAsia="Times New Roman" w:cs="Times New Roman"/>
                <w:b/>
                <w:kern w:val="0"/>
                <w:sz w:val="28"/>
                <w:szCs w:val="28"/>
                <w:lang w:val="de-DE"/>
                <w14:ligatures w14:val="none"/>
              </w:rPr>
            </w:pPr>
          </w:p>
          <w:p w14:paraId="11E6B3C5" w14:textId="77777777" w:rsidR="00610885" w:rsidRPr="00CC2A66" w:rsidRDefault="00610885" w:rsidP="008219BE">
            <w:pPr>
              <w:spacing w:after="0" w:line="240" w:lineRule="auto"/>
              <w:jc w:val="center"/>
              <w:rPr>
                <w:rFonts w:eastAsia="Times New Roman" w:cs="Times New Roman"/>
                <w:b/>
                <w:kern w:val="0"/>
                <w:sz w:val="28"/>
                <w:szCs w:val="28"/>
                <w:lang w:val="de-DE"/>
                <w14:ligatures w14:val="none"/>
              </w:rPr>
            </w:pPr>
          </w:p>
          <w:p w14:paraId="5A8B4EBA" w14:textId="77777777" w:rsidR="00610885" w:rsidRDefault="00610885" w:rsidP="008219BE">
            <w:pPr>
              <w:spacing w:after="0" w:line="240" w:lineRule="auto"/>
              <w:jc w:val="center"/>
              <w:rPr>
                <w:rFonts w:eastAsia="Times New Roman" w:cs="Times New Roman"/>
                <w:kern w:val="0"/>
                <w:sz w:val="18"/>
                <w:szCs w:val="28"/>
                <w:lang w:val="de-DE"/>
                <w14:ligatures w14:val="none"/>
              </w:rPr>
            </w:pPr>
          </w:p>
          <w:p w14:paraId="02769C52" w14:textId="77777777" w:rsidR="005E3B22" w:rsidRPr="00CC2A66" w:rsidRDefault="005E3B22" w:rsidP="008219BE">
            <w:pPr>
              <w:spacing w:after="0" w:line="240" w:lineRule="auto"/>
              <w:jc w:val="center"/>
              <w:rPr>
                <w:rFonts w:eastAsia="Times New Roman" w:cs="Times New Roman"/>
                <w:kern w:val="0"/>
                <w:sz w:val="18"/>
                <w:szCs w:val="28"/>
                <w:lang w:val="de-DE"/>
                <w14:ligatures w14:val="none"/>
              </w:rPr>
            </w:pPr>
          </w:p>
          <w:p w14:paraId="2D581E52" w14:textId="77777777" w:rsidR="00610885" w:rsidRPr="00CC2A66" w:rsidRDefault="00610885" w:rsidP="008219BE">
            <w:pPr>
              <w:spacing w:after="0" w:line="240" w:lineRule="auto"/>
              <w:jc w:val="center"/>
              <w:rPr>
                <w:rFonts w:eastAsia="Times New Roman" w:cs="Times New Roman"/>
                <w:kern w:val="0"/>
                <w:sz w:val="18"/>
                <w:szCs w:val="28"/>
                <w:lang w:val="de-DE"/>
                <w14:ligatures w14:val="none"/>
              </w:rPr>
            </w:pPr>
          </w:p>
          <w:p w14:paraId="28900715" w14:textId="77777777" w:rsidR="00610885" w:rsidRPr="00CC2A66" w:rsidRDefault="00610885" w:rsidP="008219BE">
            <w:pPr>
              <w:spacing w:after="0" w:line="240" w:lineRule="auto"/>
              <w:jc w:val="center"/>
              <w:rPr>
                <w:rFonts w:eastAsia="Times New Roman" w:cs="Times New Roman"/>
                <w:b/>
                <w:kern w:val="0"/>
                <w:sz w:val="28"/>
                <w:szCs w:val="28"/>
                <w:lang w:val="de-DE"/>
                <w14:ligatures w14:val="none"/>
              </w:rPr>
            </w:pPr>
            <w:r w:rsidRPr="00CC2A66">
              <w:rPr>
                <w:rFonts w:eastAsia="Times New Roman" w:cs="Times New Roman"/>
                <w:b/>
                <w:kern w:val="0"/>
                <w:sz w:val="28"/>
                <w:szCs w:val="28"/>
                <w:lang w:val="de-DE"/>
                <w14:ligatures w14:val="none"/>
              </w:rPr>
              <w:t>Hà Mạnh Cường</w:t>
            </w:r>
          </w:p>
        </w:tc>
      </w:tr>
    </w:tbl>
    <w:p w14:paraId="34CCE901" w14:textId="77777777" w:rsidR="00610885" w:rsidRPr="00CC2A66" w:rsidRDefault="00610885" w:rsidP="00610885">
      <w:pPr>
        <w:widowControl w:val="0"/>
        <w:shd w:val="clear" w:color="auto" w:fill="FFFFFF"/>
        <w:snapToGrid w:val="0"/>
        <w:spacing w:before="360" w:after="0" w:line="240" w:lineRule="auto"/>
        <w:ind w:firstLine="709"/>
        <w:jc w:val="center"/>
        <w:rPr>
          <w:rFonts w:eastAsia="Times New Roman" w:cs="Times New Roman"/>
          <w:b/>
          <w:bCs/>
          <w:kern w:val="0"/>
          <w:sz w:val="28"/>
          <w:szCs w:val="28"/>
          <w:lang w:val="nl-NL"/>
          <w14:ligatures w14:val="none"/>
        </w:rPr>
      </w:pPr>
    </w:p>
    <w:p w14:paraId="34138CDA" w14:textId="77777777" w:rsidR="00610885" w:rsidRPr="00CC2A66" w:rsidRDefault="00610885" w:rsidP="00610885">
      <w:pPr>
        <w:spacing w:before="120" w:after="0" w:line="240" w:lineRule="auto"/>
        <w:ind w:firstLine="720"/>
        <w:rPr>
          <w:sz w:val="28"/>
          <w:szCs w:val="28"/>
        </w:rPr>
      </w:pPr>
    </w:p>
    <w:p w14:paraId="78AE7C6F" w14:textId="77777777" w:rsidR="00B435E7" w:rsidRPr="00CC2A66" w:rsidRDefault="00B435E7" w:rsidP="00610885"/>
    <w:sectPr w:rsidR="00B435E7" w:rsidRPr="00CC2A66" w:rsidSect="007825E9">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C75C4" w14:textId="77777777" w:rsidR="0079365F" w:rsidRDefault="0079365F" w:rsidP="007825E9">
      <w:pPr>
        <w:spacing w:after="0" w:line="240" w:lineRule="auto"/>
      </w:pPr>
      <w:r>
        <w:separator/>
      </w:r>
    </w:p>
  </w:endnote>
  <w:endnote w:type="continuationSeparator" w:id="0">
    <w:p w14:paraId="786481CB" w14:textId="77777777" w:rsidR="0079365F" w:rsidRDefault="0079365F" w:rsidP="00782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03C9C" w14:textId="77777777" w:rsidR="0079365F" w:rsidRDefault="0079365F" w:rsidP="007825E9">
      <w:pPr>
        <w:spacing w:after="0" w:line="240" w:lineRule="auto"/>
      </w:pPr>
      <w:r>
        <w:separator/>
      </w:r>
    </w:p>
  </w:footnote>
  <w:footnote w:type="continuationSeparator" w:id="0">
    <w:p w14:paraId="39A48A72" w14:textId="77777777" w:rsidR="0079365F" w:rsidRDefault="0079365F" w:rsidP="007825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4737860"/>
      <w:docPartObj>
        <w:docPartGallery w:val="Page Numbers (Top of Page)"/>
        <w:docPartUnique/>
      </w:docPartObj>
    </w:sdtPr>
    <w:sdtEndPr>
      <w:rPr>
        <w:noProof/>
      </w:rPr>
    </w:sdtEndPr>
    <w:sdtContent>
      <w:p w14:paraId="76FEC2C7" w14:textId="77777777" w:rsidR="007825E9" w:rsidRDefault="007825E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68334F8" w14:textId="77777777" w:rsidR="007825E9" w:rsidRDefault="00782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D20D7"/>
    <w:multiLevelType w:val="multilevel"/>
    <w:tmpl w:val="FD069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701592"/>
    <w:multiLevelType w:val="multilevel"/>
    <w:tmpl w:val="56382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2F5FB9"/>
    <w:multiLevelType w:val="multilevel"/>
    <w:tmpl w:val="2F10CB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6732BE"/>
    <w:multiLevelType w:val="multilevel"/>
    <w:tmpl w:val="A2807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672B57"/>
    <w:multiLevelType w:val="multilevel"/>
    <w:tmpl w:val="D8C80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BC0106"/>
    <w:multiLevelType w:val="multilevel"/>
    <w:tmpl w:val="C3402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0A38E6"/>
    <w:multiLevelType w:val="multilevel"/>
    <w:tmpl w:val="FFF05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F91805"/>
    <w:multiLevelType w:val="multilevel"/>
    <w:tmpl w:val="4CD4B1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00C6C0B"/>
    <w:multiLevelType w:val="multilevel"/>
    <w:tmpl w:val="71762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2837E49"/>
    <w:multiLevelType w:val="multilevel"/>
    <w:tmpl w:val="1A8E3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DC6DF3"/>
    <w:multiLevelType w:val="multilevel"/>
    <w:tmpl w:val="C310D7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B6841F4"/>
    <w:multiLevelType w:val="multilevel"/>
    <w:tmpl w:val="E79E5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F223A98"/>
    <w:multiLevelType w:val="multilevel"/>
    <w:tmpl w:val="39E2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0E7B1B"/>
    <w:multiLevelType w:val="multilevel"/>
    <w:tmpl w:val="32A2C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2706B25"/>
    <w:multiLevelType w:val="multilevel"/>
    <w:tmpl w:val="740ED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563F36"/>
    <w:multiLevelType w:val="multilevel"/>
    <w:tmpl w:val="7DC69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796C6B"/>
    <w:multiLevelType w:val="multilevel"/>
    <w:tmpl w:val="4600E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06501410">
    <w:abstractNumId w:val="11"/>
  </w:num>
  <w:num w:numId="2" w16cid:durableId="563955624">
    <w:abstractNumId w:val="10"/>
  </w:num>
  <w:num w:numId="3" w16cid:durableId="347609056">
    <w:abstractNumId w:val="12"/>
  </w:num>
  <w:num w:numId="4" w16cid:durableId="1963346046">
    <w:abstractNumId w:val="2"/>
  </w:num>
  <w:num w:numId="5" w16cid:durableId="1543712180">
    <w:abstractNumId w:val="13"/>
  </w:num>
  <w:num w:numId="6" w16cid:durableId="217059522">
    <w:abstractNumId w:val="8"/>
  </w:num>
  <w:num w:numId="7" w16cid:durableId="1101876823">
    <w:abstractNumId w:val="3"/>
  </w:num>
  <w:num w:numId="8" w16cid:durableId="1364674544">
    <w:abstractNumId w:val="7"/>
  </w:num>
  <w:num w:numId="9" w16cid:durableId="2136826345">
    <w:abstractNumId w:val="1"/>
  </w:num>
  <w:num w:numId="10" w16cid:durableId="931013460">
    <w:abstractNumId w:val="6"/>
  </w:num>
  <w:num w:numId="11" w16cid:durableId="1703944696">
    <w:abstractNumId w:val="14"/>
  </w:num>
  <w:num w:numId="12" w16cid:durableId="683900264">
    <w:abstractNumId w:val="5"/>
  </w:num>
  <w:num w:numId="13" w16cid:durableId="1614437624">
    <w:abstractNumId w:val="9"/>
  </w:num>
  <w:num w:numId="14" w16cid:durableId="1194155663">
    <w:abstractNumId w:val="16"/>
  </w:num>
  <w:num w:numId="15" w16cid:durableId="1750039353">
    <w:abstractNumId w:val="15"/>
  </w:num>
  <w:num w:numId="16" w16cid:durableId="426654986">
    <w:abstractNumId w:val="0"/>
  </w:num>
  <w:num w:numId="17" w16cid:durableId="14904362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31E"/>
    <w:rsid w:val="0000075E"/>
    <w:rsid w:val="00040D6F"/>
    <w:rsid w:val="000B6694"/>
    <w:rsid w:val="000E51D7"/>
    <w:rsid w:val="00191C50"/>
    <w:rsid w:val="00230534"/>
    <w:rsid w:val="00244B9F"/>
    <w:rsid w:val="0031451C"/>
    <w:rsid w:val="003B23AA"/>
    <w:rsid w:val="003B6142"/>
    <w:rsid w:val="00473E2E"/>
    <w:rsid w:val="004B48F8"/>
    <w:rsid w:val="005E3B22"/>
    <w:rsid w:val="005E3C08"/>
    <w:rsid w:val="005F664C"/>
    <w:rsid w:val="00610885"/>
    <w:rsid w:val="00617789"/>
    <w:rsid w:val="0063081C"/>
    <w:rsid w:val="00666147"/>
    <w:rsid w:val="006772B6"/>
    <w:rsid w:val="006F1927"/>
    <w:rsid w:val="00717A83"/>
    <w:rsid w:val="00725A93"/>
    <w:rsid w:val="00727B0A"/>
    <w:rsid w:val="007825E9"/>
    <w:rsid w:val="0079365F"/>
    <w:rsid w:val="00794098"/>
    <w:rsid w:val="007A7217"/>
    <w:rsid w:val="007D6FDD"/>
    <w:rsid w:val="007E523E"/>
    <w:rsid w:val="0080713D"/>
    <w:rsid w:val="00890539"/>
    <w:rsid w:val="008F4FDE"/>
    <w:rsid w:val="00934EC8"/>
    <w:rsid w:val="00974CC3"/>
    <w:rsid w:val="00981348"/>
    <w:rsid w:val="0099131E"/>
    <w:rsid w:val="00996B18"/>
    <w:rsid w:val="009A63D8"/>
    <w:rsid w:val="009D7C89"/>
    <w:rsid w:val="009E0302"/>
    <w:rsid w:val="00B40AA5"/>
    <w:rsid w:val="00B435E7"/>
    <w:rsid w:val="00B70A1D"/>
    <w:rsid w:val="00B72962"/>
    <w:rsid w:val="00BF60F8"/>
    <w:rsid w:val="00CC2A66"/>
    <w:rsid w:val="00D17577"/>
    <w:rsid w:val="00D326E7"/>
    <w:rsid w:val="00D36059"/>
    <w:rsid w:val="00DC1529"/>
    <w:rsid w:val="00DC2516"/>
    <w:rsid w:val="00EA6828"/>
    <w:rsid w:val="00EB5173"/>
    <w:rsid w:val="00F278EE"/>
    <w:rsid w:val="00F662ED"/>
    <w:rsid w:val="00FA321A"/>
    <w:rsid w:val="00FC53E7"/>
    <w:rsid w:val="00FF38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E2B00"/>
  <w15:chartTrackingRefBased/>
  <w15:docId w15:val="{8CFB2C01-D677-40EB-9375-C5FFFB77F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4"/>
        <w:lang w:val="en-US" w:eastAsia="en-US" w:bidi="ar-SA"/>
        <w14:ligatures w14:val="standardContextual"/>
      </w:rPr>
    </w:rPrDefault>
    <w:pPrDefault>
      <w:pPr>
        <w:spacing w:after="120" w:line="32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13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13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131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131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9131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9131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9131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9131E"/>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9131E"/>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13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13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131E"/>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131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9131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9131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9131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9131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9131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913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13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131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131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9131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9131E"/>
    <w:rPr>
      <w:i/>
      <w:iCs/>
      <w:color w:val="404040" w:themeColor="text1" w:themeTint="BF"/>
    </w:rPr>
  </w:style>
  <w:style w:type="paragraph" w:styleId="ListParagraph">
    <w:name w:val="List Paragraph"/>
    <w:basedOn w:val="Normal"/>
    <w:uiPriority w:val="34"/>
    <w:qFormat/>
    <w:rsid w:val="0099131E"/>
    <w:pPr>
      <w:ind w:left="720"/>
      <w:contextualSpacing/>
    </w:pPr>
  </w:style>
  <w:style w:type="character" w:styleId="IntenseEmphasis">
    <w:name w:val="Intense Emphasis"/>
    <w:basedOn w:val="DefaultParagraphFont"/>
    <w:uiPriority w:val="21"/>
    <w:qFormat/>
    <w:rsid w:val="0099131E"/>
    <w:rPr>
      <w:i/>
      <w:iCs/>
      <w:color w:val="0F4761" w:themeColor="accent1" w:themeShade="BF"/>
    </w:rPr>
  </w:style>
  <w:style w:type="paragraph" w:styleId="IntenseQuote">
    <w:name w:val="Intense Quote"/>
    <w:basedOn w:val="Normal"/>
    <w:next w:val="Normal"/>
    <w:link w:val="IntenseQuoteChar"/>
    <w:uiPriority w:val="30"/>
    <w:qFormat/>
    <w:rsid w:val="009913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131E"/>
    <w:rPr>
      <w:i/>
      <w:iCs/>
      <w:color w:val="0F4761" w:themeColor="accent1" w:themeShade="BF"/>
    </w:rPr>
  </w:style>
  <w:style w:type="character" w:styleId="IntenseReference">
    <w:name w:val="Intense Reference"/>
    <w:basedOn w:val="DefaultParagraphFont"/>
    <w:uiPriority w:val="32"/>
    <w:qFormat/>
    <w:rsid w:val="0099131E"/>
    <w:rPr>
      <w:b/>
      <w:bCs/>
      <w:smallCaps/>
      <w:color w:val="0F4761" w:themeColor="accent1" w:themeShade="BF"/>
      <w:spacing w:val="5"/>
    </w:rPr>
  </w:style>
  <w:style w:type="paragraph" w:styleId="Header">
    <w:name w:val="header"/>
    <w:basedOn w:val="Normal"/>
    <w:link w:val="HeaderChar"/>
    <w:uiPriority w:val="99"/>
    <w:unhideWhenUsed/>
    <w:rsid w:val="007825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25E9"/>
  </w:style>
  <w:style w:type="paragraph" w:styleId="Footer">
    <w:name w:val="footer"/>
    <w:basedOn w:val="Normal"/>
    <w:link w:val="FooterChar"/>
    <w:uiPriority w:val="99"/>
    <w:unhideWhenUsed/>
    <w:rsid w:val="007825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25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74</TotalTime>
  <Pages>8</Pages>
  <Words>2583</Words>
  <Characters>14727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33</cp:revision>
  <dcterms:created xsi:type="dcterms:W3CDTF">2026-03-21T15:30:00Z</dcterms:created>
  <dcterms:modified xsi:type="dcterms:W3CDTF">2026-03-24T06:50:00Z</dcterms:modified>
</cp:coreProperties>
</file>